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94" w:rsidRDefault="00FD6494" w:rsidP="00FD6494">
      <w:pPr>
        <w:pStyle w:val="Default"/>
        <w:jc w:val="center"/>
        <w:rPr>
          <w:b/>
          <w:bCs/>
          <w:color w:val="365F91"/>
          <w:sz w:val="32"/>
          <w:szCs w:val="32"/>
        </w:rPr>
      </w:pPr>
      <w:r w:rsidRPr="00FD6494">
        <w:rPr>
          <w:b/>
          <w:bCs/>
          <w:noProof/>
          <w:color w:val="365F91"/>
          <w:sz w:val="32"/>
          <w:szCs w:val="32"/>
          <w:lang w:eastAsia="el-GR"/>
        </w:rPr>
        <w:drawing>
          <wp:inline distT="0" distB="0" distL="0" distR="0">
            <wp:extent cx="4197077" cy="11304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97077" cy="1130427"/>
                    </a:xfrm>
                    <a:prstGeom prst="rect">
                      <a:avLst/>
                    </a:prstGeom>
                  </pic:spPr>
                </pic:pic>
              </a:graphicData>
            </a:graphic>
          </wp:inline>
        </w:drawing>
      </w:r>
    </w:p>
    <w:p w:rsidR="00FD6494" w:rsidRDefault="00FD6494" w:rsidP="00BB43B6">
      <w:pPr>
        <w:pStyle w:val="Default"/>
        <w:jc w:val="both"/>
        <w:rPr>
          <w:b/>
          <w:bCs/>
          <w:color w:val="365F91"/>
          <w:sz w:val="32"/>
          <w:szCs w:val="32"/>
        </w:rPr>
      </w:pPr>
    </w:p>
    <w:p w:rsidR="00FD6494" w:rsidRPr="00FD6494" w:rsidRDefault="00FD6494" w:rsidP="00BB43B6">
      <w:pPr>
        <w:pStyle w:val="Default"/>
        <w:jc w:val="both"/>
        <w:rPr>
          <w:b/>
          <w:bCs/>
          <w:color w:val="365F91"/>
          <w:sz w:val="27"/>
          <w:szCs w:val="27"/>
        </w:rPr>
      </w:pPr>
    </w:p>
    <w:p w:rsidR="00FD6494" w:rsidRPr="00FD6494" w:rsidRDefault="00FD6494" w:rsidP="00FD6494">
      <w:pPr>
        <w:ind w:right="89"/>
        <w:jc w:val="center"/>
        <w:rPr>
          <w:rFonts w:ascii="Calibri" w:hAnsi="Calibri"/>
          <w:b/>
          <w:sz w:val="27"/>
          <w:szCs w:val="27"/>
        </w:rPr>
      </w:pPr>
      <w:r w:rsidRPr="00FD6494">
        <w:rPr>
          <w:rFonts w:ascii="Calibri" w:hAnsi="Calibri"/>
          <w:b/>
          <w:sz w:val="27"/>
          <w:szCs w:val="27"/>
        </w:rPr>
        <w:t>ΠΑΝΕΠΙΣΤΗΜΙΟ</w:t>
      </w:r>
      <w:r w:rsidRPr="00FD6494">
        <w:rPr>
          <w:rFonts w:ascii="Calibri" w:hAnsi="Calibri"/>
          <w:b/>
          <w:spacing w:val="13"/>
          <w:sz w:val="27"/>
          <w:szCs w:val="27"/>
        </w:rPr>
        <w:t xml:space="preserve"> </w:t>
      </w:r>
      <w:r w:rsidRPr="00FD6494">
        <w:rPr>
          <w:rFonts w:ascii="Calibri" w:hAnsi="Calibri"/>
          <w:b/>
          <w:spacing w:val="-2"/>
          <w:sz w:val="27"/>
          <w:szCs w:val="27"/>
        </w:rPr>
        <w:t>ΠΕΛΟΠΟΝΝΗΣΟΥ</w:t>
      </w:r>
    </w:p>
    <w:p w:rsidR="00FD6494" w:rsidRPr="00FD6494" w:rsidRDefault="00FD6494" w:rsidP="00FD6494">
      <w:pPr>
        <w:pStyle w:val="Default"/>
        <w:jc w:val="center"/>
        <w:rPr>
          <w:b/>
          <w:bCs/>
          <w:color w:val="365F91"/>
          <w:sz w:val="26"/>
          <w:szCs w:val="26"/>
        </w:rPr>
      </w:pPr>
      <w:r w:rsidRPr="00FD6494">
        <w:rPr>
          <w:rFonts w:ascii="Calibri" w:hAnsi="Calibri"/>
          <w:b/>
          <w:sz w:val="26"/>
          <w:szCs w:val="26"/>
        </w:rPr>
        <w:t>ΣΧΟΛΗ ΑΝΘΡΩΠΙΣΤΙΚΩΝ ΕΠΙΣΤΗΜΩΝ ΚΑΙ ΠΟΛΙΤΙΣΜΙΚΩΝ ΣΠΟΥΔΩΝ ΤΜΗΜΑ ΙΣΤΟΡΙΑΣ,</w:t>
      </w:r>
      <w:r w:rsidRPr="00FD6494">
        <w:rPr>
          <w:rFonts w:ascii="Calibri" w:hAnsi="Calibri"/>
          <w:b/>
          <w:spacing w:val="-7"/>
          <w:sz w:val="26"/>
          <w:szCs w:val="26"/>
        </w:rPr>
        <w:t xml:space="preserve"> </w:t>
      </w:r>
      <w:r w:rsidRPr="00FD6494">
        <w:rPr>
          <w:rFonts w:ascii="Calibri" w:hAnsi="Calibri"/>
          <w:b/>
          <w:sz w:val="26"/>
          <w:szCs w:val="26"/>
        </w:rPr>
        <w:t>ΑΡΧΑΙΟΛΟΓΙΑΣ</w:t>
      </w:r>
      <w:r w:rsidRPr="00FD6494">
        <w:rPr>
          <w:rFonts w:ascii="Calibri" w:hAnsi="Calibri"/>
          <w:b/>
          <w:spacing w:val="-7"/>
          <w:sz w:val="26"/>
          <w:szCs w:val="26"/>
        </w:rPr>
        <w:t xml:space="preserve"> </w:t>
      </w:r>
      <w:r>
        <w:rPr>
          <w:rFonts w:ascii="Calibri" w:hAnsi="Calibri"/>
          <w:b/>
          <w:spacing w:val="-7"/>
          <w:sz w:val="26"/>
          <w:szCs w:val="26"/>
        </w:rPr>
        <w:t>&amp;</w:t>
      </w:r>
      <w:r w:rsidRPr="00FD6494">
        <w:rPr>
          <w:rFonts w:ascii="Calibri" w:hAnsi="Calibri"/>
          <w:b/>
          <w:spacing w:val="-7"/>
          <w:sz w:val="26"/>
          <w:szCs w:val="26"/>
        </w:rPr>
        <w:t xml:space="preserve"> </w:t>
      </w:r>
      <w:r w:rsidRPr="00FD6494">
        <w:rPr>
          <w:rFonts w:ascii="Calibri" w:hAnsi="Calibri"/>
          <w:b/>
          <w:sz w:val="26"/>
          <w:szCs w:val="26"/>
        </w:rPr>
        <w:t>ΔΙΑΧΕΙΡΙΣΗΣ</w:t>
      </w:r>
      <w:r w:rsidRPr="00FD6494">
        <w:rPr>
          <w:rFonts w:ascii="Calibri" w:hAnsi="Calibri"/>
          <w:b/>
          <w:spacing w:val="-9"/>
          <w:sz w:val="26"/>
          <w:szCs w:val="26"/>
        </w:rPr>
        <w:t xml:space="preserve"> </w:t>
      </w:r>
      <w:r w:rsidRPr="00FD6494">
        <w:rPr>
          <w:rFonts w:ascii="Calibri" w:hAnsi="Calibri"/>
          <w:b/>
          <w:sz w:val="26"/>
          <w:szCs w:val="26"/>
        </w:rPr>
        <w:t>ΠΟΛΙΤΙΣΜΙΚΩΝ</w:t>
      </w:r>
      <w:r w:rsidRPr="00FD6494">
        <w:rPr>
          <w:rFonts w:ascii="Calibri" w:hAnsi="Calibri"/>
          <w:b/>
          <w:spacing w:val="-10"/>
          <w:sz w:val="26"/>
          <w:szCs w:val="26"/>
        </w:rPr>
        <w:t xml:space="preserve"> </w:t>
      </w:r>
      <w:r w:rsidRPr="00FD6494">
        <w:rPr>
          <w:rFonts w:ascii="Calibri" w:hAnsi="Calibri"/>
          <w:b/>
          <w:sz w:val="26"/>
          <w:szCs w:val="26"/>
        </w:rPr>
        <w:t>ΣΠΟΥΔΩΝ</w:t>
      </w:r>
    </w:p>
    <w:p w:rsidR="00FD6494" w:rsidRPr="00FD6494" w:rsidRDefault="00FD6494" w:rsidP="00BB43B6">
      <w:pPr>
        <w:pStyle w:val="Default"/>
        <w:jc w:val="both"/>
        <w:rPr>
          <w:b/>
          <w:bCs/>
          <w:color w:val="365F91"/>
          <w:sz w:val="26"/>
          <w:szCs w:val="26"/>
        </w:rPr>
      </w:pPr>
    </w:p>
    <w:p w:rsidR="00FD6494" w:rsidRPr="00FD6494" w:rsidRDefault="00FD6494" w:rsidP="00BB43B6">
      <w:pPr>
        <w:pStyle w:val="Default"/>
        <w:jc w:val="both"/>
        <w:rPr>
          <w:b/>
          <w:bCs/>
          <w:color w:val="365F91"/>
          <w:sz w:val="26"/>
          <w:szCs w:val="26"/>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Pr="00FD6494" w:rsidRDefault="00FD6494" w:rsidP="00FD6494">
      <w:pPr>
        <w:pStyle w:val="Default"/>
        <w:jc w:val="center"/>
        <w:rPr>
          <w:b/>
          <w:bCs/>
          <w:color w:val="365F91"/>
          <w:sz w:val="34"/>
          <w:szCs w:val="34"/>
        </w:rPr>
      </w:pPr>
      <w:r w:rsidRPr="00FD6494">
        <w:rPr>
          <w:b/>
          <w:bCs/>
          <w:color w:val="365F91"/>
          <w:sz w:val="34"/>
          <w:szCs w:val="34"/>
        </w:rPr>
        <w:t>Πολιτική Υποστήριξης, Ανάπτυξης και Αξιολόγησης του Προσωπικού του ΠΠΣ</w:t>
      </w: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7C0E77" w:rsidRDefault="007C0E77" w:rsidP="00BB43B6">
      <w:pPr>
        <w:pStyle w:val="Default"/>
        <w:jc w:val="both"/>
        <w:rPr>
          <w:b/>
          <w:bCs/>
          <w:color w:val="365F91"/>
          <w:sz w:val="32"/>
          <w:szCs w:val="32"/>
        </w:rPr>
      </w:pPr>
    </w:p>
    <w:p w:rsidR="00C65C9A" w:rsidRDefault="00C65C9A" w:rsidP="00BB43B6">
      <w:pPr>
        <w:pStyle w:val="Default"/>
        <w:jc w:val="both"/>
        <w:rPr>
          <w:b/>
          <w:bCs/>
          <w:color w:val="365F91"/>
          <w:sz w:val="32"/>
          <w:szCs w:val="32"/>
        </w:rPr>
      </w:pPr>
      <w:r w:rsidRPr="00C65C9A">
        <w:rPr>
          <w:b/>
          <w:bCs/>
          <w:color w:val="365F91"/>
          <w:sz w:val="32"/>
          <w:szCs w:val="32"/>
        </w:rPr>
        <w:lastRenderedPageBreak/>
        <w:t xml:space="preserve">Πίνακας περιεχομένων </w:t>
      </w:r>
    </w:p>
    <w:p w:rsidR="00FD6494" w:rsidRPr="00C65C9A" w:rsidRDefault="00FD6494" w:rsidP="00BB43B6">
      <w:pPr>
        <w:pStyle w:val="Default"/>
        <w:jc w:val="both"/>
        <w:rPr>
          <w:b/>
          <w:bCs/>
          <w:color w:val="365F91"/>
          <w:sz w:val="32"/>
          <w:szCs w:val="32"/>
        </w:rPr>
      </w:pPr>
    </w:p>
    <w:p w:rsidR="00C65C9A" w:rsidRPr="00FD6494" w:rsidRDefault="00FD6494" w:rsidP="00BB43B6">
      <w:pPr>
        <w:pStyle w:val="Default"/>
        <w:jc w:val="both"/>
      </w:pPr>
      <w:r>
        <w:t xml:space="preserve">1. </w:t>
      </w:r>
      <w:r w:rsidR="00C65C9A">
        <w:t>Σκοπός...........................................................................................</w:t>
      </w:r>
      <w:r>
        <w:t>........................</w:t>
      </w:r>
      <w:r w:rsidR="00C65C9A">
        <w:t>..</w:t>
      </w:r>
      <w:r>
        <w:t>...........................</w:t>
      </w:r>
      <w:r w:rsidR="00C65C9A">
        <w:t xml:space="preserve"> 3 </w:t>
      </w:r>
    </w:p>
    <w:p w:rsidR="00C65C9A" w:rsidRPr="00FD6494" w:rsidRDefault="00C65C9A" w:rsidP="00BB43B6">
      <w:pPr>
        <w:pStyle w:val="Default"/>
        <w:jc w:val="both"/>
      </w:pPr>
      <w:r>
        <w:t>2. Γενικές αρχές</w:t>
      </w:r>
      <w:r w:rsidR="00FD6494">
        <w:t xml:space="preserve"> </w:t>
      </w:r>
      <w:r>
        <w:t>..............</w:t>
      </w:r>
      <w:r w:rsidR="00FD6494">
        <w:t>..................</w:t>
      </w:r>
      <w:r>
        <w:t xml:space="preserve">.................................................................................................. 3 </w:t>
      </w:r>
    </w:p>
    <w:p w:rsidR="00C65C9A" w:rsidRPr="00FD6494" w:rsidRDefault="00C65C9A" w:rsidP="00BB43B6">
      <w:pPr>
        <w:pStyle w:val="Default"/>
        <w:jc w:val="both"/>
      </w:pPr>
      <w:r>
        <w:t>3. Διδακτικό προσωπικό</w:t>
      </w:r>
      <w:r w:rsidR="00FD6494">
        <w:t xml:space="preserve"> </w:t>
      </w:r>
      <w:r>
        <w:t>......................................</w:t>
      </w:r>
      <w:r w:rsidR="00FD6494">
        <w:t>......................</w:t>
      </w:r>
      <w:r>
        <w:t xml:space="preserve">.................................................... 4 </w:t>
      </w:r>
    </w:p>
    <w:p w:rsidR="00C65C9A" w:rsidRPr="00FD6494" w:rsidRDefault="00C65C9A" w:rsidP="00BB43B6">
      <w:pPr>
        <w:pStyle w:val="Default"/>
        <w:jc w:val="both"/>
      </w:pPr>
      <w:r>
        <w:t>4. Διοικητικό και υποστηρικτικό προσωπικό</w:t>
      </w:r>
      <w:r w:rsidR="00FD6494">
        <w:t xml:space="preserve"> ……..</w:t>
      </w:r>
      <w:r>
        <w:t>....................</w:t>
      </w:r>
      <w:r w:rsidR="00FD6494">
        <w:t>........</w:t>
      </w:r>
      <w:r>
        <w:t xml:space="preserve">................................. 5 </w:t>
      </w:r>
    </w:p>
    <w:p w:rsidR="00C65C9A" w:rsidRPr="00C65C9A" w:rsidRDefault="00FD6494" w:rsidP="00BB43B6">
      <w:pPr>
        <w:pStyle w:val="Default"/>
        <w:jc w:val="both"/>
        <w:rPr>
          <w:b/>
          <w:bCs/>
          <w:color w:val="365F91"/>
          <w:sz w:val="32"/>
          <w:szCs w:val="32"/>
        </w:rPr>
      </w:pPr>
      <w:r>
        <w:t>5. Πρόσθετα μέτρα στήριξης ........</w:t>
      </w:r>
      <w:r w:rsidR="00C65C9A">
        <w:t>................................................................................................ 6</w:t>
      </w:r>
    </w:p>
    <w:p w:rsidR="00C65C9A" w:rsidRPr="00FD6494" w:rsidRDefault="00C65C9A"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FD6494" w:rsidRDefault="00FD6494" w:rsidP="00BB43B6">
      <w:pPr>
        <w:pStyle w:val="Default"/>
        <w:jc w:val="both"/>
        <w:rPr>
          <w:b/>
          <w:bCs/>
          <w:color w:val="365F91"/>
          <w:sz w:val="32"/>
          <w:szCs w:val="32"/>
        </w:rPr>
      </w:pPr>
    </w:p>
    <w:p w:rsidR="00BB43B6" w:rsidRDefault="00BB43B6" w:rsidP="00BB43B6">
      <w:pPr>
        <w:pStyle w:val="Default"/>
        <w:jc w:val="both"/>
        <w:rPr>
          <w:color w:val="365F91"/>
          <w:sz w:val="32"/>
          <w:szCs w:val="32"/>
        </w:rPr>
      </w:pPr>
      <w:r>
        <w:rPr>
          <w:b/>
          <w:bCs/>
          <w:color w:val="365F91"/>
          <w:sz w:val="32"/>
          <w:szCs w:val="32"/>
        </w:rPr>
        <w:lastRenderedPageBreak/>
        <w:t xml:space="preserve">1. Σκοπός </w:t>
      </w:r>
    </w:p>
    <w:p w:rsidR="00BB43B6" w:rsidRDefault="00BB43B6" w:rsidP="00BB43B6">
      <w:pPr>
        <w:pStyle w:val="Default"/>
        <w:jc w:val="both"/>
        <w:rPr>
          <w:sz w:val="22"/>
          <w:szCs w:val="22"/>
        </w:rPr>
      </w:pPr>
      <w:r>
        <w:rPr>
          <w:sz w:val="22"/>
          <w:szCs w:val="22"/>
        </w:rPr>
        <w:t xml:space="preserve">Επιδίωξη του Τμήμα Ιστορίας, </w:t>
      </w:r>
      <w:r w:rsidR="00C65C9A">
        <w:rPr>
          <w:sz w:val="22"/>
          <w:szCs w:val="22"/>
        </w:rPr>
        <w:t xml:space="preserve">Αρχαιολογίας </w:t>
      </w:r>
      <w:r w:rsidR="00426709">
        <w:rPr>
          <w:sz w:val="22"/>
          <w:szCs w:val="22"/>
        </w:rPr>
        <w:t xml:space="preserve">και Διαχείρισης Πολιτιστικών Αγαθών </w:t>
      </w:r>
      <w:r w:rsidR="00B23197">
        <w:rPr>
          <w:sz w:val="22"/>
          <w:szCs w:val="22"/>
        </w:rPr>
        <w:t xml:space="preserve">(στο εξής: ΤΙΑΔΠΑ) </w:t>
      </w:r>
      <w:r>
        <w:rPr>
          <w:sz w:val="22"/>
          <w:szCs w:val="22"/>
        </w:rPr>
        <w:t xml:space="preserve">είναι να παρέχει το κατάλληλο πνευματικό, κοινωνικό και φυσικό περιβάλλον στο οποίο η έρευνα, η ακαδημαϊκότητα και η μάθηση μπορούν να ανθίσουν και τα μέλη του διδακτικού ερευνητικού προσωπικού (Δ.Ε.Π.), το εργαστηριακό διδακτικό προσωπικό (Ε.ΔΙ.Π.), το διοικητικό προσωπικό, καθώς και οι φοιτητές να αξιοποιήσουν στο μέγιστο δυνατό βαθμό τις δυνατότητές τους. Στο πλαίσιο αυτό, το Τμήμα στοχεύει στη συνεχή υποστήριξη, επιμόρφωση και ανάπτυξη των δεξιοτήτων του προσωπικού του και τη διαμόρφωση των απαραίτητων συνθηκών για την ανάδειξη ικανών νέων ερευνητών και ερευνητριών και υπεύθυνων πολιτών, σύμφωνα με τον Εσωτερικό Κανονισμό του Πανεπιστημίου Πελοποννήσου (ΦΕΚ 1563/09.05.2019, τ. Β’). Η πολιτική του τμήματος υπάρχει αναρτημένη και στην ιστοσελίδα του </w:t>
      </w:r>
      <w:r w:rsidR="00B23197" w:rsidRPr="007C0E77">
        <w:rPr>
          <w:sz w:val="22"/>
          <w:szCs w:val="22"/>
        </w:rPr>
        <w:t>Τ</w:t>
      </w:r>
      <w:r w:rsidRPr="007C0E77">
        <w:rPr>
          <w:sz w:val="22"/>
          <w:szCs w:val="22"/>
        </w:rPr>
        <w:t>μήματος (</w:t>
      </w:r>
      <w:r w:rsidR="007C0E77" w:rsidRPr="007C0E77">
        <w:rPr>
          <w:sz w:val="22"/>
          <w:szCs w:val="22"/>
        </w:rPr>
        <w:t>https://ham.uop.gr/pps-personnel-support-development-evaluation-policy</w:t>
      </w:r>
      <w:r w:rsidRPr="007C0E77">
        <w:rPr>
          <w:sz w:val="22"/>
          <w:szCs w:val="22"/>
        </w:rPr>
        <w:t>).</w:t>
      </w:r>
      <w:r>
        <w:rPr>
          <w:sz w:val="22"/>
          <w:szCs w:val="22"/>
        </w:rPr>
        <w:t xml:space="preserve"> </w:t>
      </w:r>
    </w:p>
    <w:p w:rsidR="00BB43B6" w:rsidRDefault="00BB43B6" w:rsidP="00BB43B6">
      <w:pPr>
        <w:pStyle w:val="Default"/>
        <w:jc w:val="both"/>
        <w:rPr>
          <w:sz w:val="22"/>
          <w:szCs w:val="22"/>
        </w:rPr>
      </w:pPr>
      <w:r>
        <w:rPr>
          <w:sz w:val="22"/>
          <w:szCs w:val="22"/>
        </w:rPr>
        <w:t xml:space="preserve">Αναγνωρίζεται ότι η επιτυχία του Τμήματος εξαρτάται από το σύνολο του προσωπικού του, ανεξάρτητα από το ρόλο του, και την κατοχή από το προσωπικό των σχετικών δεξιοτήτων, γνώσεων και ικανοτήτων. Η χάραξη και εφαρμογή της κατάλληλης στρατηγικής για την ανάπτυξη του προσωπικού βοηθά το Πανεπιστήμιο να προσελκύει και να διατηρεί προσωπικό υψηλού επιπέδου, με τις δεξιότητες και τις ικανότητες που απαιτούνται για την επίτευξη των στόχων του. Το Τμήμα αναγνωρίζει ότι ως κύτταρο ενός Ιδρύματος στο οποίο η εκπαίδευση και η έρευνα βρίσκονται στον πυρήνα των δραστηριοτήτων του έχει ιδιαίτερα αυξημένη ευθύνη να υποστηρίζει και να ενθαρρύνει την ανάπτυξη του προσωπικού του. </w:t>
      </w:r>
    </w:p>
    <w:p w:rsidR="00BB43B6" w:rsidRDefault="00B23197" w:rsidP="00BB43B6">
      <w:pPr>
        <w:pStyle w:val="Default"/>
        <w:jc w:val="both"/>
        <w:rPr>
          <w:sz w:val="22"/>
          <w:szCs w:val="22"/>
        </w:rPr>
      </w:pPr>
      <w:r>
        <w:rPr>
          <w:sz w:val="22"/>
          <w:szCs w:val="22"/>
        </w:rPr>
        <w:t>Το</w:t>
      </w:r>
      <w:r w:rsidR="00BB43B6">
        <w:rPr>
          <w:sz w:val="22"/>
          <w:szCs w:val="22"/>
        </w:rPr>
        <w:t xml:space="preserve"> </w:t>
      </w:r>
      <w:r>
        <w:rPr>
          <w:sz w:val="22"/>
          <w:szCs w:val="22"/>
        </w:rPr>
        <w:t>ΤΙΑΔΠΑ</w:t>
      </w:r>
      <w:r w:rsidR="00BB43B6">
        <w:rPr>
          <w:sz w:val="22"/>
          <w:szCs w:val="22"/>
        </w:rPr>
        <w:t xml:space="preserve"> επιδιώκει</w:t>
      </w:r>
      <w:r>
        <w:rPr>
          <w:sz w:val="22"/>
          <w:szCs w:val="22"/>
        </w:rPr>
        <w:t>, συγκεκριμένα,</w:t>
      </w:r>
      <w:r w:rsidR="00BB43B6">
        <w:rPr>
          <w:sz w:val="22"/>
          <w:szCs w:val="22"/>
        </w:rPr>
        <w:t xml:space="preserve"> την υποστήριξη </w:t>
      </w:r>
      <w:r>
        <w:rPr>
          <w:sz w:val="22"/>
          <w:szCs w:val="22"/>
        </w:rPr>
        <w:t>του συνόλου του προσωπικού</w:t>
      </w:r>
      <w:r w:rsidR="00BB43B6">
        <w:rPr>
          <w:sz w:val="22"/>
          <w:szCs w:val="22"/>
        </w:rPr>
        <w:t xml:space="preserve"> του</w:t>
      </w:r>
      <w:r>
        <w:rPr>
          <w:sz w:val="22"/>
          <w:szCs w:val="22"/>
        </w:rPr>
        <w:t>,</w:t>
      </w:r>
      <w:r w:rsidR="00BB43B6">
        <w:rPr>
          <w:sz w:val="22"/>
          <w:szCs w:val="22"/>
        </w:rPr>
        <w:t xml:space="preserve"> ώστε να αξιοποιήσει τις προσωπικές και επαγγελματικές του δυνατότητες και ως εκ τούτου να επιτύχει στο υψηλότερο δυνατό επίπεδο τους στόχους του. Το Τμήμα στοχεύει να υποστηρίξει τα μέλη του, σε κάθε στάδιο της καριέρας τους, στην επιτυχή εκπλήρωση του ρόλου τους και των ευθυνών τους. Σκοπός του είναι να ενθαρρύνει τα μέλη του να επιτύχουν υψηλές επιδόσεις, υποστηρίζοντας την αξιοποίηση των δυνατοτήτων τους. </w:t>
      </w:r>
    </w:p>
    <w:p w:rsidR="00BB43B6" w:rsidRDefault="00BB43B6" w:rsidP="00BB43B6">
      <w:pPr>
        <w:pStyle w:val="Default"/>
        <w:jc w:val="both"/>
        <w:rPr>
          <w:sz w:val="22"/>
          <w:szCs w:val="22"/>
        </w:rPr>
      </w:pPr>
      <w:r>
        <w:rPr>
          <w:sz w:val="22"/>
          <w:szCs w:val="22"/>
        </w:rPr>
        <w:t xml:space="preserve">Ειδικότερα, το Τμήμα αποσκοπεί στην υποστήριξη της ακαδημαϊκής σταδιοδρομίας των μελών του προσωπικού και ειδικότερα των νεότερων βοηθώντας τους να: </w:t>
      </w:r>
    </w:p>
    <w:p w:rsidR="00BB43B6" w:rsidRDefault="00BB43B6" w:rsidP="00B23197">
      <w:pPr>
        <w:pStyle w:val="Default"/>
        <w:spacing w:after="68"/>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Προσδιορίσουν ένα σχέδιο επαγγελματικής εξέλιξης, με την κατάλληλη καθοδήγηση από έμπειρους ακαδημαϊκούς συναδέλφους (</w:t>
      </w:r>
      <w:proofErr w:type="spellStart"/>
      <w:r>
        <w:rPr>
          <w:sz w:val="22"/>
          <w:szCs w:val="22"/>
        </w:rPr>
        <w:t>Advisor</w:t>
      </w:r>
      <w:proofErr w:type="spellEnd"/>
      <w:r>
        <w:rPr>
          <w:sz w:val="22"/>
          <w:szCs w:val="22"/>
        </w:rPr>
        <w:t>/</w:t>
      </w:r>
      <w:proofErr w:type="spellStart"/>
      <w:r>
        <w:rPr>
          <w:sz w:val="22"/>
          <w:szCs w:val="22"/>
        </w:rPr>
        <w:t>mentor</w:t>
      </w:r>
      <w:proofErr w:type="spellEnd"/>
      <w:r>
        <w:rPr>
          <w:sz w:val="22"/>
          <w:szCs w:val="22"/>
        </w:rPr>
        <w:t xml:space="preserve">), που θα τους επιτρέψει να γίνουν αποτελεσματικοί στους ρόλους τους όσο το δυνατόν γρηγορότερα, έτσι επιτρέποντάς τους να αναλάβουν όλο το φάσμα των ακαδημαϊκών καθηκόντων που τους ενδιαφέρουν. </w:t>
      </w:r>
    </w:p>
    <w:p w:rsidR="00BB43B6" w:rsidRDefault="00BB43B6" w:rsidP="00B23197">
      <w:pPr>
        <w:pStyle w:val="Default"/>
        <w:spacing w:after="68"/>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Λαμβάνουν τακτικά σχόλια για την απόδοσή τους και την πρόοδό τους σε σχέση με το σχέδιο επαγγελματικής τους εξέλιξης. </w:t>
      </w:r>
    </w:p>
    <w:p w:rsidR="00BB43B6" w:rsidRDefault="00BB43B6" w:rsidP="00B23197">
      <w:pPr>
        <w:pStyle w:val="Default"/>
        <w:spacing w:after="68"/>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Προσδιορίζουν πρόσθετες ανάγκες κατάρτισης και να εξασφαλίζουν υποστήριξη για την κάλυψη αυτών. </w:t>
      </w:r>
    </w:p>
    <w:p w:rsidR="00BB43B6" w:rsidRDefault="00BB43B6" w:rsidP="00B23197">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Διευρύνουν το φάσμα των δεξιοτήτων και της εμπειρίας βάσει των οποίων μπορούν να συνεχίσουν να αναπτύσσουν μια επιτυχημένη ακαδημαϊκή ή/και διοικητική σταδιοδρομία που θα υποστηρίξει την επίτευξη του επαγγελματικού τους στόχου. </w:t>
      </w:r>
    </w:p>
    <w:p w:rsidR="00B23197" w:rsidRDefault="00B23197" w:rsidP="00B23197">
      <w:pPr>
        <w:pStyle w:val="Default"/>
        <w:jc w:val="both"/>
        <w:rPr>
          <w:sz w:val="22"/>
          <w:szCs w:val="22"/>
        </w:rPr>
      </w:pPr>
    </w:p>
    <w:p w:rsidR="00B23197" w:rsidRPr="00B23197" w:rsidRDefault="00B23197" w:rsidP="00B23197">
      <w:pPr>
        <w:pStyle w:val="Default"/>
        <w:jc w:val="both"/>
        <w:rPr>
          <w:b/>
          <w:bCs/>
          <w:color w:val="365F91"/>
          <w:sz w:val="32"/>
          <w:szCs w:val="32"/>
        </w:rPr>
      </w:pPr>
      <w:r w:rsidRPr="00B23197">
        <w:rPr>
          <w:b/>
          <w:bCs/>
          <w:color w:val="365F91"/>
          <w:sz w:val="32"/>
          <w:szCs w:val="32"/>
        </w:rPr>
        <w:t xml:space="preserve">2. Γενικές αρχές </w:t>
      </w:r>
    </w:p>
    <w:p w:rsidR="00B23197" w:rsidRDefault="00B23197" w:rsidP="00B23197">
      <w:pPr>
        <w:pStyle w:val="Default"/>
        <w:jc w:val="both"/>
      </w:pPr>
      <w:r>
        <w:t xml:space="preserve">Η πολιτική υποστήριξης, ανάπτυξης και αξιολόγησης του διδακτικού και διοικητικού προσωπικού του ΤΙΑΔΠΑ διέπεται από γενικές αρχές που διασφαλίζουν την αποτελεσματική λειτουργία, την επαγγελματική ανάπτυξη, αλλά και τη συνεχή βελτίωση των υπηρεσιών που παρέχονται. </w:t>
      </w:r>
    </w:p>
    <w:p w:rsidR="00B23197" w:rsidRDefault="00B23197" w:rsidP="00B23197">
      <w:pPr>
        <w:pStyle w:val="Default"/>
        <w:jc w:val="both"/>
      </w:pPr>
      <w:r w:rsidRPr="00B23197">
        <w:rPr>
          <w:b/>
        </w:rPr>
        <w:t>1. Διαφάνεια:</w:t>
      </w:r>
      <w:r>
        <w:t xml:space="preserve"> Οι διαδικασίες που αφορούν την υποστήριξη, ανάπτυξη και αξιολόγηση του προσωπικού είναι διαφανείς, σαφείς και </w:t>
      </w:r>
      <w:proofErr w:type="spellStart"/>
      <w:r>
        <w:t>προσβάσιμες</w:t>
      </w:r>
      <w:proofErr w:type="spellEnd"/>
      <w:r>
        <w:t xml:space="preserve"> σε όλη την ακαδημαϊκή κοινότητα, των διαφόρων κριτηρίων αξιολόγησης. </w:t>
      </w:r>
    </w:p>
    <w:p w:rsidR="00B23197" w:rsidRDefault="00B23197" w:rsidP="00B23197">
      <w:pPr>
        <w:pStyle w:val="Default"/>
        <w:jc w:val="both"/>
      </w:pPr>
      <w:r w:rsidRPr="00B23197">
        <w:rPr>
          <w:b/>
        </w:rPr>
        <w:lastRenderedPageBreak/>
        <w:t>2. Δικαιοσύνη και αμεροληψία</w:t>
      </w:r>
      <w:r>
        <w:t xml:space="preserve">: Η αξιολόγηση και η ανάπτυξη του προσωπικού βασίζονται σε αντικειμενικά κριτήρια και εφαρμόζονται με δικαιοσύνη και αμεροληψία, προσφέροντας δίκαιη πρόσβαση σε ευκαιρίες ανάπτυξης σε όλο το προσωπικό, κατάλληλες για το ρόλο του και ευθυγραμμισμένο με τους στόχους του. Όλες οι δραστηριότητες ανάπτυξης προσωπικού θα διεξάγονται σύμφωνα με την Πολιτική Ίσων Ευκαιριών του Πανεπιστημίου. </w:t>
      </w:r>
    </w:p>
    <w:p w:rsidR="00B23197" w:rsidRDefault="00B23197" w:rsidP="00B23197">
      <w:pPr>
        <w:pStyle w:val="Default"/>
        <w:jc w:val="both"/>
      </w:pPr>
      <w:r w:rsidRPr="00B23197">
        <w:rPr>
          <w:b/>
        </w:rPr>
        <w:t>3. Επαγγελματική ανάπτυξη και ανατροφοδότηση:</w:t>
      </w:r>
      <w:r>
        <w:t xml:space="preserve"> Προώθηση της επαγγελματικής ανάπτυξης του διδακτικού και διοικητικού προσωπικού μέσω της παροχής ευκαιριών κατάρτισης που στοχεύουν στην ενίσχυση δεξιοτήτων και γνώσεων. Παροχή τακτικής πληροφόρησης με ευκαιρίες βελτίωσης και εποικοδομητικής ανατροφοδότησης ως προς την απόδοση τους. </w:t>
      </w:r>
    </w:p>
    <w:p w:rsidR="00B23197" w:rsidRDefault="00B23197" w:rsidP="00B23197">
      <w:pPr>
        <w:pStyle w:val="Default"/>
        <w:jc w:val="both"/>
      </w:pPr>
      <w:r w:rsidRPr="00B23197">
        <w:rPr>
          <w:b/>
        </w:rPr>
        <w:t>4. Συνεχής υποστήριξη:</w:t>
      </w:r>
      <w:r>
        <w:t xml:space="preserve"> Δημιουργία ενός υποστηρικτικού περιβάλλοντος και διαρκής παροχή διευκολύνσεων στο προσωπικό (π.χ. άδειες απουσίας, χρηματοδοτήσεις) για τη συμμετοχή του σε δράσεις ανάπτυξης, ώστε να είναι σε θέση να αναπτύξει τις ικανότητες του και να επιτύχει τους επαγγελματικούς του στόχους. Ενθάρρυνση της ενεργούς συμμετοχής του προσωπικού σε ευκαιρίες ανάπτυξης από τα όργανα διοίκησης του Τμήματος. </w:t>
      </w:r>
    </w:p>
    <w:p w:rsidR="00B23197" w:rsidRDefault="00B23197" w:rsidP="00B23197">
      <w:pPr>
        <w:pStyle w:val="Default"/>
        <w:jc w:val="both"/>
      </w:pPr>
      <w:r w:rsidRPr="00B23197">
        <w:rPr>
          <w:b/>
        </w:rPr>
        <w:t>5. Αξιολόγηση βάσει απόδοσης και στόχων:</w:t>
      </w:r>
      <w:r>
        <w:t xml:space="preserve"> Η αξιολόγηση του προσωπικού βασίζεται σε σαφώς καθορισμένα κριτήρια και στόχους που είναι ευθυγραμμισμένοι με την αποστολή του Τμήματος και το ισχύον θεσμικό και κανονιστικό πλαίσιο. Η συμμετοχή του προσωπικού του Τμήματος σε διαδικασίες αξιολόγησης είναι υποχρεωτική. </w:t>
      </w:r>
    </w:p>
    <w:p w:rsidR="00B23197" w:rsidRDefault="00B23197" w:rsidP="00B23197">
      <w:pPr>
        <w:pStyle w:val="Default"/>
        <w:jc w:val="both"/>
      </w:pPr>
      <w:r w:rsidRPr="00B23197">
        <w:rPr>
          <w:b/>
        </w:rPr>
        <w:t>6. Αναγνώριση και επιβράβευση:</w:t>
      </w:r>
      <w:r>
        <w:t xml:space="preserve"> Αναγνώριση και επιβράβευση των επιτευγμάτων και της αριστείας του προσωπικού μέσω βραβείων, επιχορηγήσεων, ή άλλων μορφών αναγνώρισης που ενθαρρύνουν τη συνεχή βελτίωση και την αφοσίωση στο έργο τους. </w:t>
      </w:r>
    </w:p>
    <w:p w:rsidR="00B23197" w:rsidRDefault="00B23197" w:rsidP="00B23197">
      <w:pPr>
        <w:pStyle w:val="Default"/>
        <w:jc w:val="both"/>
      </w:pPr>
      <w:r w:rsidRPr="00B23197">
        <w:rPr>
          <w:b/>
        </w:rPr>
        <w:t>7. Δεοντολογία και επαγγελματισμός:</w:t>
      </w:r>
      <w:r>
        <w:t xml:space="preserve"> Δέσμευση για υψηλά πρότυπα δεοντολογίας και επαγγελματισμού σε όλες τις πτυχές της εργασίας και της συμπεριφοράς του προσωπικού, προάγοντας την ακεραιότητα, υπευθυνότητα και σεβασμό, ιδιαιτέρως σε θέματα ισότητας και διαφορετικότητας. </w:t>
      </w:r>
    </w:p>
    <w:p w:rsidR="00B23197" w:rsidRDefault="00B23197" w:rsidP="00B23197">
      <w:pPr>
        <w:pStyle w:val="Default"/>
        <w:jc w:val="both"/>
      </w:pPr>
      <w:r w:rsidRPr="00B23197">
        <w:rPr>
          <w:b/>
        </w:rPr>
        <w:t>8. Συνεχής αναθεώρηση και βελτίωση:</w:t>
      </w:r>
      <w:r>
        <w:t xml:space="preserve"> Η παρούσα πολιτική του Τμήματος υπόκειται σε συνεχή αναθεώρηση και βελτίωση, λαμβάνοντας υπόψη τις μεταβαλλόμενες ανάγκες του προσωπικού, καθώς και τις εξελίξεις στον τομέα της ανώτατης εκπαίδευσης. </w:t>
      </w:r>
    </w:p>
    <w:p w:rsidR="00B23197" w:rsidRDefault="00B23197" w:rsidP="00B23197">
      <w:pPr>
        <w:pStyle w:val="Default"/>
        <w:jc w:val="both"/>
      </w:pPr>
    </w:p>
    <w:p w:rsidR="00B23197" w:rsidRDefault="00B23197" w:rsidP="00B23197">
      <w:pPr>
        <w:pStyle w:val="Default"/>
        <w:jc w:val="both"/>
      </w:pPr>
      <w:r>
        <w:t>Οι ανωτέρω αρχές συμβάλλουν στη δημιουργία ενός ακαδημαϊκού περιβάλλοντος που υποστηρίζει την αριστεία, την επαγγελματική ανάπτυξη και την ικανοποίηση του προσωπικού, ενώ παράλληλα ενισχύει την αποτελεσματικότητα και τη θέση του Τμήματος στον ευρύτερο ακαδημαϊκό χάρτη.</w:t>
      </w:r>
    </w:p>
    <w:p w:rsidR="00B23197" w:rsidRDefault="00B23197" w:rsidP="00B23197">
      <w:pPr>
        <w:pStyle w:val="Default"/>
        <w:jc w:val="both"/>
      </w:pPr>
    </w:p>
    <w:p w:rsidR="00B23197" w:rsidRDefault="00B23197" w:rsidP="00B23197">
      <w:pPr>
        <w:pStyle w:val="Default"/>
        <w:jc w:val="both"/>
        <w:rPr>
          <w:b/>
          <w:bCs/>
          <w:color w:val="365F91"/>
          <w:sz w:val="32"/>
          <w:szCs w:val="32"/>
        </w:rPr>
      </w:pPr>
      <w:r w:rsidRPr="00B23197">
        <w:rPr>
          <w:b/>
          <w:bCs/>
          <w:color w:val="365F91"/>
          <w:sz w:val="32"/>
          <w:szCs w:val="32"/>
        </w:rPr>
        <w:t xml:space="preserve">3. Διδακτικό προσωπικό </w:t>
      </w:r>
    </w:p>
    <w:p w:rsidR="00B23197" w:rsidRPr="00B23197" w:rsidRDefault="00B23197" w:rsidP="00B23197">
      <w:pPr>
        <w:pStyle w:val="Default"/>
        <w:jc w:val="both"/>
        <w:rPr>
          <w:b/>
          <w:bCs/>
          <w:color w:val="365F91"/>
          <w:sz w:val="32"/>
          <w:szCs w:val="32"/>
        </w:rPr>
      </w:pPr>
    </w:p>
    <w:p w:rsidR="00B23197" w:rsidRDefault="00B23197" w:rsidP="00B23197">
      <w:pPr>
        <w:pStyle w:val="Default"/>
        <w:jc w:val="both"/>
      </w:pPr>
      <w:r>
        <w:t>Η επιμόρφωση των μελών διδακτικού ερευνητικού προσωπικού (Δ.Ε.Π.) του Τμήματος γίνεται μέσω: (α) της συμμετοχής τους σε ημερίδες και συνέδρια και (β) της χορήγησης επιστημονικής άδειας (</w:t>
      </w:r>
      <w:proofErr w:type="spellStart"/>
      <w:r>
        <w:t>sabbatical</w:t>
      </w:r>
      <w:proofErr w:type="spellEnd"/>
      <w:r>
        <w:t xml:space="preserve">), σύμφωνα με τα οριζόμενα στο αρ. 157 του Ν.4957/2022. Η επιμόρφωση των μελών Ειδικού Εκπαιδευτικού Προσωπικού (Ε.Ε.Π.), Εργαστηριακού Διδακτικού Προσωπικού (Ε.ΔΙ.Π.), και του Ειδικού Τεχνικού Εργαστηριακού Προσωπικού (Ε.Τ.Ε.Π.), </w:t>
      </w:r>
      <w:r>
        <w:lastRenderedPageBreak/>
        <w:t>πραγματοποιείται μέσω της συμμετοχής τους σε ημερίδες, συνέδρια, εκπαιδευτικά σεμινάρια και προγράμματα κινητικότητας προσωπικού για επιμόρφωσή (</w:t>
      </w:r>
      <w:proofErr w:type="spellStart"/>
      <w:r>
        <w:t>Erasmus</w:t>
      </w:r>
      <w:proofErr w:type="spellEnd"/>
      <w:r>
        <w:t xml:space="preserve">+), μετά από έγκριση του αρμόδιου οργάνου και με τη συμμετοχή τους σε προγράμματα μεταπτυχιακών και διδακτορικών σπουδών, για την οποία μπορούν να λάβουν επιστημονική άδεια, μετά από απόφαση του αρμοδίου οργάνου. </w:t>
      </w:r>
    </w:p>
    <w:p w:rsidR="00B23197" w:rsidRDefault="00B23197" w:rsidP="00B23197">
      <w:pPr>
        <w:pStyle w:val="Default"/>
        <w:jc w:val="both"/>
      </w:pPr>
    </w:p>
    <w:p w:rsidR="00B23197" w:rsidRDefault="00B23197" w:rsidP="00B23197">
      <w:pPr>
        <w:pStyle w:val="Default"/>
        <w:jc w:val="both"/>
      </w:pPr>
      <w:r>
        <w:t xml:space="preserve">Η αξιολόγηση των διδασκόντων του ΤΙΑΔΠΑ είναι πολύπλευρη και πραγματοποιείται μέσω: α) της αξιολόγησης της διδακτικής τους ικανότητας και των διαδικασιών που έχουν οριστεί από τη ΜΟΔΙΠ του Πανεπιστημίου Πελοποννήσου, βάσει της κείμενης νομοθεσίας και β) της διανομής ερωτηματολογίων στους φοιτητές του Τμήματος στο πλαίσιο υλοποίησης της </w:t>
      </w:r>
      <w:proofErr w:type="spellStart"/>
      <w:r>
        <w:t>φοιτητοκεντρικής</w:t>
      </w:r>
      <w:proofErr w:type="spellEnd"/>
      <w:r>
        <w:t xml:space="preserve"> διαδικασίας μάθησης. Τα αποτελέσματα της αξιολόγησης αναλύονται από την Ομάδα Εσωτερικής Αξιολόγησης (ΟΜ.Ε.Α.) του Τμήματος και τα ευρήματα παρουσιάζονται στα αρμόδια όργανα του Τμήματος. Ως ηθική επιβράβευση και κίνητρο διαρκούς βελτίωσης της διδασκαλίας και παρεχόμενης εκπαίδευσης, έχει θεσπιστεί από το ακαδημαϊκό έτος 2016–17 το βραβείο «Διδακτική Αριστεία στο Πανεπιστήμιο Πελοποννήσου» με την 100/7/31.07.2017 απόφαση της Συγκλήτου. Προσφέρεται σε μέλος του διδακτικού προσωπικού του Ιδρύματος που προσφέρει αυτοδύναμο διδακτικό έργο και έχει λάβει τη μεγαλύτερη βαθμολογία από τους φοιτητές στο σύστημα αξιολόγησης. Το βραβείο απονέμεται με ευθύνη της Κοσμητείας της Σχολής σε διδάσκοντες του Τμήματος που πληρούν σωρευτικά ένα σύνολο προϋποθέσεων (σχετικές με τη συμμετοχή των φοιτητών και το διδαχθέν μάθημα). Η συνολική αξιολόγηση των μελών Δ.Ε.Π. γίνεται κατά την εξέλιξή τους σε επόμενη βαθμίδα και σύμφωνα με τα οριζόμενα στην κείμενη νομοθεσία. Η αξιολόγηση των μελών Ε.Ε.Π., Ε.ΔΙ.Π. και Ε.Τ.Ε.Π. γίνεται κατά την εξέλιξη τους σε επόμενη βαθμίδα και σύμφωνα με τα οριζόμενα στην σχετική Απόφαση της Συγκλήτου. Τονίζεται ότι η αξιολόγηση έχει ως στόχο αφ’ ενός την ανάδειξη των ισχυρών σημείων και καλών πρακτικών προκειμένου για τη διάχυσή τους και αφ’ ετέρου τον εντοπισμό σημείων όπου επιδέχονται βελτίωσης, έτσι ώστε να δοθεί η δυνατότητα θεραπείας των</w:t>
      </w:r>
    </w:p>
    <w:p w:rsidR="00B23197" w:rsidRDefault="00B23197" w:rsidP="00B23197">
      <w:pPr>
        <w:pStyle w:val="Default"/>
        <w:jc w:val="both"/>
      </w:pPr>
    </w:p>
    <w:p w:rsidR="00B23197" w:rsidRDefault="00B23197" w:rsidP="00B23197">
      <w:pPr>
        <w:pStyle w:val="Default"/>
        <w:jc w:val="both"/>
      </w:pPr>
    </w:p>
    <w:p w:rsidR="00B23197" w:rsidRDefault="00B23197" w:rsidP="00B23197">
      <w:pPr>
        <w:pStyle w:val="Default"/>
        <w:jc w:val="both"/>
      </w:pPr>
      <w:r>
        <w:t>αδυναμιών με αξιοποίηση των μέσων ανάπτυξης που παρέχει το Τμήμα και το Ίδρυμα, αλλά αναλαμβάνοντας την ευθύνη που του αναλογεί για τη δική του ανάπτυξη. Ιδιαίτερα σημαντική είναι συμμετοχή του διδακτικού προσωπικού σε ημερίδες, σεμινάρια και λοιπές εκπαιδευτικές δραστηριότητες που διοργανώνονται ή συνδιοργανώνονται από το Τμήμα ή το Πανεπιστήμιο και αφορούν: α) στη διασφάλιση ποιότητας, τις σχετιζόμενες ακολουθητέες διαδικασίες και τις βέλτιστες πρακτικές, και β) στην υποστήριξη της διδασκαλίας και της μάθησης, όπως ιδίως αυτές διοργανώνονται από το Κέντρο Υποστήριξης Διδασκαλίας και Μάθησης Πανεπιστημίου Πελοποννήσου.</w:t>
      </w:r>
    </w:p>
    <w:p w:rsidR="00B23197" w:rsidRDefault="00B23197" w:rsidP="00B23197">
      <w:pPr>
        <w:pStyle w:val="Default"/>
        <w:jc w:val="both"/>
      </w:pPr>
    </w:p>
    <w:p w:rsidR="00B23197" w:rsidRPr="00B23197" w:rsidRDefault="00B23197" w:rsidP="00B23197">
      <w:pPr>
        <w:pStyle w:val="Default"/>
        <w:jc w:val="both"/>
        <w:rPr>
          <w:b/>
          <w:bCs/>
          <w:color w:val="365F91"/>
          <w:sz w:val="32"/>
          <w:szCs w:val="32"/>
        </w:rPr>
      </w:pPr>
      <w:r w:rsidRPr="00B23197">
        <w:rPr>
          <w:b/>
          <w:bCs/>
          <w:color w:val="365F91"/>
          <w:sz w:val="32"/>
          <w:szCs w:val="32"/>
        </w:rPr>
        <w:t xml:space="preserve">4. Διοικητικό και υποστηρικτικό προσωπικό </w:t>
      </w:r>
    </w:p>
    <w:p w:rsidR="00B23197" w:rsidRDefault="00B23197" w:rsidP="00B23197">
      <w:pPr>
        <w:pStyle w:val="Default"/>
        <w:jc w:val="both"/>
      </w:pPr>
    </w:p>
    <w:p w:rsidR="006C7B4C" w:rsidRDefault="00B23197" w:rsidP="00B23197">
      <w:pPr>
        <w:pStyle w:val="Default"/>
        <w:jc w:val="both"/>
      </w:pPr>
      <w:r>
        <w:t xml:space="preserve">Η επιμόρφωση του διοικητικού προσωπικού, με στόχο τη βελτίωση της αποτελεσματικότητας και της αποδοτικότητας του, γίνεται με τη συμμετοχή τους σε: </w:t>
      </w:r>
    </w:p>
    <w:p w:rsidR="006C7B4C" w:rsidRDefault="00B23197" w:rsidP="00B23197">
      <w:pPr>
        <w:pStyle w:val="Default"/>
        <w:jc w:val="both"/>
      </w:pPr>
      <w:r>
        <w:lastRenderedPageBreak/>
        <w:t xml:space="preserve">1. Προγράμματα μεταπτυχιακών και διδακτορικών σπουδών, σχετικά με το αντικείμενο εργασίας τους, για τα οποία δύναται να λάβουν άδεια υπηρεσιακής εκπαίδευσης, σύμφωνα με τα οριζόμενα στον Υπαλληλικό Κώδικα. </w:t>
      </w:r>
    </w:p>
    <w:p w:rsidR="006C7B4C" w:rsidRDefault="00B23197" w:rsidP="00B23197">
      <w:pPr>
        <w:pStyle w:val="Default"/>
        <w:jc w:val="both"/>
      </w:pPr>
      <w:r>
        <w:t xml:space="preserve">2. Σεμινάρια του Ινστιτούτου Επιμόρφωσης της Σχολής Δημόσιας Διοίκησης, μετά από δική τους αίτηση και έγκριση του Προϊσταμένου. </w:t>
      </w:r>
    </w:p>
    <w:p w:rsidR="00B23197" w:rsidRDefault="00B23197" w:rsidP="00B23197">
      <w:pPr>
        <w:pStyle w:val="Default"/>
        <w:jc w:val="both"/>
      </w:pPr>
      <w:r>
        <w:t>3. Εξειδικευμένα σεμινάρια του αντικειμένου της εργασίας τους, τα οποία προγραμματίζονται από το Πανεπιστήμιο όταν υπάρχει σχετική ανάγκη (π.χ. εκπαίδευση του προσωπικού στην χρήση νέων πληροφοριακών συστημάτων, συστημάτων διαχείρισης Γραμματείας, κ.λπ.).</w:t>
      </w:r>
    </w:p>
    <w:p w:rsidR="006C7B4C" w:rsidRDefault="006C7B4C" w:rsidP="00B23197">
      <w:pPr>
        <w:pStyle w:val="Default"/>
        <w:jc w:val="both"/>
      </w:pPr>
      <w:r>
        <w:t xml:space="preserve">4. Συμμετοχή σε ημερίδες, σεμινάρια και λοιπές εκπαιδευτικές δραστηριότητες που αφορούν στη διασφάλιση ποιότητας, τις σχετιζόμενες ακολουθητέες διαδικασίες και τις βέλτιστες πρακτικές. </w:t>
      </w:r>
    </w:p>
    <w:p w:rsidR="006C7B4C" w:rsidRDefault="006C7B4C" w:rsidP="00B23197">
      <w:pPr>
        <w:pStyle w:val="Default"/>
        <w:jc w:val="both"/>
      </w:pPr>
      <w:r>
        <w:t xml:space="preserve">5. Εκπαιδευτικές δράσεις σου διοργανώνει το Πανεπιστήμιο σε συγκεκριμένες θεματικές ενότητες (π.χ. εκμάθηση Microsoft Office), μετά από ανίχνευση εκπαιδευτικών αναγκών του προσωπικού. </w:t>
      </w:r>
    </w:p>
    <w:p w:rsidR="006C7B4C" w:rsidRDefault="006C7B4C" w:rsidP="00B23197">
      <w:pPr>
        <w:pStyle w:val="Default"/>
        <w:jc w:val="both"/>
      </w:pPr>
      <w:r>
        <w:t>6. Προγράμματα κινητικότητας διοικητικού προσωπικού για επιμόρφωση (</w:t>
      </w:r>
      <w:proofErr w:type="spellStart"/>
      <w:r>
        <w:t>Erasmus</w:t>
      </w:r>
      <w:proofErr w:type="spellEnd"/>
      <w:r>
        <w:t xml:space="preserve">+). Για την επιλογή των συμμετεχόντων ακολουθείται συγκεκριμένη διαδικασία στην βάση κριτηρίων επιλογής, η οποία αποτελεί τμήμα της πρόσκλησης εκδήλωσης ενδιαφέροντος. </w:t>
      </w:r>
    </w:p>
    <w:p w:rsidR="006C7B4C" w:rsidRDefault="006C7B4C" w:rsidP="00B23197">
      <w:pPr>
        <w:pStyle w:val="Default"/>
        <w:jc w:val="both"/>
      </w:pPr>
    </w:p>
    <w:p w:rsidR="006C7B4C" w:rsidRDefault="006C7B4C" w:rsidP="00B23197">
      <w:pPr>
        <w:pStyle w:val="Default"/>
        <w:jc w:val="both"/>
        <w:rPr>
          <w:b/>
          <w:bCs/>
          <w:color w:val="365F91"/>
          <w:sz w:val="32"/>
          <w:szCs w:val="32"/>
        </w:rPr>
      </w:pPr>
      <w:r w:rsidRPr="006C7B4C">
        <w:rPr>
          <w:b/>
          <w:bCs/>
          <w:color w:val="365F91"/>
          <w:sz w:val="32"/>
          <w:szCs w:val="32"/>
        </w:rPr>
        <w:t xml:space="preserve">5. Πρόσθετα μέτρα στήριξης </w:t>
      </w:r>
    </w:p>
    <w:p w:rsidR="006C7B4C" w:rsidRPr="006C7B4C" w:rsidRDefault="006C7B4C" w:rsidP="00B23197">
      <w:pPr>
        <w:pStyle w:val="Default"/>
        <w:jc w:val="both"/>
        <w:rPr>
          <w:b/>
          <w:bCs/>
          <w:color w:val="365F91"/>
          <w:sz w:val="32"/>
          <w:szCs w:val="32"/>
        </w:rPr>
      </w:pPr>
    </w:p>
    <w:p w:rsidR="006C7B4C" w:rsidRPr="006C7B4C" w:rsidRDefault="006C7B4C" w:rsidP="00B23197">
      <w:pPr>
        <w:pStyle w:val="Default"/>
        <w:jc w:val="both"/>
      </w:pPr>
      <w:r>
        <w:t>Το ΤΙΑΔΠΑ, αναγνωρίζοντας το δικαίωμα σε ίσες ευκαιρίες, τις ιδιαιτερότητες κάθε μέλους του προσωπικού του και με σεβασμό στις ανάγκες του καθενός, επιδιώκει επιπρόσθετα: α) Κατάλληλη υποστήριξη, καθοδήγηση κι ενθάρρυνση για την επίτευξη ξεκάθαρων στόχων. β) Ισορροπημένο εργασιακό φόρτο. γ) Την ανάληψη ευθύνης για την αναγνώριση της επιθυμητής προσωπικής εξέλιξης του κάθε μέλους του προσωπικού, την οποία δεσμεύεται έμπρακτα να την υποστηρίξει.</w:t>
      </w:r>
    </w:p>
    <w:p w:rsidR="00840612" w:rsidRDefault="00840612"/>
    <w:sectPr w:rsidR="00840612" w:rsidSect="00FD6494">
      <w:footerReference w:type="default" r:id="rId8"/>
      <w:pgSz w:w="11906" w:h="17338"/>
      <w:pgMar w:top="1440" w:right="1800" w:bottom="1440" w:left="180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F5" w:rsidRDefault="000373F5" w:rsidP="00FD6494">
      <w:r>
        <w:separator/>
      </w:r>
    </w:p>
  </w:endnote>
  <w:endnote w:type="continuationSeparator" w:id="0">
    <w:p w:rsidR="000373F5" w:rsidRDefault="000373F5" w:rsidP="00FD64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213532"/>
      <w:docPartObj>
        <w:docPartGallery w:val="Page Numbers (Bottom of Page)"/>
        <w:docPartUnique/>
      </w:docPartObj>
    </w:sdtPr>
    <w:sdtContent>
      <w:p w:rsidR="00FD6494" w:rsidRDefault="00FD6494">
        <w:pPr>
          <w:pStyle w:val="a4"/>
          <w:jc w:val="center"/>
        </w:pPr>
        <w:r>
          <w:t>[</w:t>
        </w:r>
        <w:fldSimple w:instr=" PAGE   \* MERGEFORMAT ">
          <w:r w:rsidR="007C0E77">
            <w:rPr>
              <w:noProof/>
            </w:rPr>
            <w:t>3</w:t>
          </w:r>
        </w:fldSimple>
        <w:r>
          <w:t>]</w:t>
        </w:r>
      </w:p>
    </w:sdtContent>
  </w:sdt>
  <w:p w:rsidR="00FD6494" w:rsidRDefault="00FD64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F5" w:rsidRDefault="000373F5" w:rsidP="00FD6494">
      <w:r>
        <w:separator/>
      </w:r>
    </w:p>
  </w:footnote>
  <w:footnote w:type="continuationSeparator" w:id="0">
    <w:p w:rsidR="000373F5" w:rsidRDefault="000373F5" w:rsidP="00FD64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B43B6"/>
    <w:rsid w:val="00030228"/>
    <w:rsid w:val="000373F5"/>
    <w:rsid w:val="00426709"/>
    <w:rsid w:val="006C7B4C"/>
    <w:rsid w:val="007C0E77"/>
    <w:rsid w:val="00840612"/>
    <w:rsid w:val="00850E7C"/>
    <w:rsid w:val="00AD25AE"/>
    <w:rsid w:val="00B23197"/>
    <w:rsid w:val="00BB43B6"/>
    <w:rsid w:val="00C65C9A"/>
    <w:rsid w:val="00FD6494"/>
    <w:rsid w:val="00FF20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D649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43B6"/>
    <w:pPr>
      <w:autoSpaceDE w:val="0"/>
      <w:autoSpaceDN w:val="0"/>
      <w:adjustRightInd w:val="0"/>
      <w:spacing w:after="0" w:line="240" w:lineRule="auto"/>
    </w:pPr>
    <w:rPr>
      <w:rFonts w:ascii="Cambria" w:hAnsi="Cambria" w:cs="Cambria"/>
      <w:color w:val="000000"/>
      <w:sz w:val="24"/>
      <w:szCs w:val="24"/>
    </w:rPr>
  </w:style>
  <w:style w:type="paragraph" w:styleId="a3">
    <w:name w:val="header"/>
    <w:basedOn w:val="a"/>
    <w:link w:val="Char"/>
    <w:uiPriority w:val="99"/>
    <w:semiHidden/>
    <w:unhideWhenUsed/>
    <w:rsid w:val="00FD6494"/>
    <w:pPr>
      <w:tabs>
        <w:tab w:val="center" w:pos="4153"/>
        <w:tab w:val="right" w:pos="8306"/>
      </w:tabs>
    </w:pPr>
  </w:style>
  <w:style w:type="character" w:customStyle="1" w:styleId="Char">
    <w:name w:val="Κεφαλίδα Char"/>
    <w:basedOn w:val="a0"/>
    <w:link w:val="a3"/>
    <w:uiPriority w:val="99"/>
    <w:semiHidden/>
    <w:rsid w:val="00FD6494"/>
  </w:style>
  <w:style w:type="paragraph" w:styleId="a4">
    <w:name w:val="footer"/>
    <w:basedOn w:val="a"/>
    <w:link w:val="Char0"/>
    <w:uiPriority w:val="99"/>
    <w:unhideWhenUsed/>
    <w:rsid w:val="00FD6494"/>
    <w:pPr>
      <w:tabs>
        <w:tab w:val="center" w:pos="4153"/>
        <w:tab w:val="right" w:pos="8306"/>
      </w:tabs>
    </w:pPr>
  </w:style>
  <w:style w:type="character" w:customStyle="1" w:styleId="Char0">
    <w:name w:val="Υποσέλιδο Char"/>
    <w:basedOn w:val="a0"/>
    <w:link w:val="a4"/>
    <w:uiPriority w:val="99"/>
    <w:rsid w:val="00FD6494"/>
  </w:style>
  <w:style w:type="paragraph" w:styleId="a5">
    <w:name w:val="Balloon Text"/>
    <w:basedOn w:val="a"/>
    <w:link w:val="Char1"/>
    <w:uiPriority w:val="99"/>
    <w:semiHidden/>
    <w:unhideWhenUsed/>
    <w:rsid w:val="00FD6494"/>
    <w:rPr>
      <w:rFonts w:ascii="Tahoma" w:hAnsi="Tahoma" w:cs="Tahoma"/>
      <w:sz w:val="16"/>
      <w:szCs w:val="16"/>
    </w:rPr>
  </w:style>
  <w:style w:type="character" w:customStyle="1" w:styleId="Char1">
    <w:name w:val="Κείμενο πλαισίου Char"/>
    <w:basedOn w:val="a0"/>
    <w:link w:val="a5"/>
    <w:uiPriority w:val="99"/>
    <w:semiHidden/>
    <w:rsid w:val="00FD64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F3A21-64F7-40E0-8347-2716F7AD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6</Pages>
  <Words>1886</Words>
  <Characters>10189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2025-11-26T11:23:00Z</dcterms:created>
  <dcterms:modified xsi:type="dcterms:W3CDTF">2025-11-27T06:31:00Z</dcterms:modified>
</cp:coreProperties>
</file>