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52" w:rsidRDefault="00A01552">
      <w:pPr>
        <w:spacing w:before="55"/>
        <w:ind w:left="2760"/>
        <w:rPr>
          <w:rFonts w:ascii="Palatino Linotype" w:hAnsi="Palatino Linotype"/>
          <w:b/>
          <w:spacing w:val="-2"/>
          <w:sz w:val="20"/>
        </w:rPr>
      </w:pPr>
    </w:p>
    <w:p w:rsidR="0020016B" w:rsidRDefault="00B45635">
      <w:pPr>
        <w:spacing w:before="55"/>
        <w:ind w:left="2760"/>
        <w:rPr>
          <w:rFonts w:ascii="Palatino Linotype" w:hAnsi="Palatino Linotype"/>
          <w:b/>
          <w:sz w:val="20"/>
        </w:rPr>
      </w:pPr>
      <w:r>
        <w:rPr>
          <w:rFonts w:ascii="Palatino Linotype" w:hAnsi="Palatino Linotype"/>
          <w:b/>
          <w:noProof/>
          <w:sz w:val="20"/>
          <w:lang w:eastAsia="el-GR"/>
        </w:rPr>
        <w:drawing>
          <wp:anchor distT="0" distB="0" distL="0" distR="0" simplePos="0" relativeHeight="15729152" behindDoc="0" locked="0" layoutInCell="1" allowOverlap="1">
            <wp:simplePos x="0" y="0"/>
            <wp:positionH relativeFrom="page">
              <wp:posOffset>1299210</wp:posOffset>
            </wp:positionH>
            <wp:positionV relativeFrom="paragraph">
              <wp:posOffset>35949</wp:posOffset>
            </wp:positionV>
            <wp:extent cx="1003935" cy="99732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003935" cy="997329"/>
                    </a:xfrm>
                    <a:prstGeom prst="rect">
                      <a:avLst/>
                    </a:prstGeom>
                  </pic:spPr>
                </pic:pic>
              </a:graphicData>
            </a:graphic>
          </wp:anchor>
        </w:drawing>
      </w:r>
      <w:r>
        <w:rPr>
          <w:rFonts w:ascii="Palatino Linotype" w:hAnsi="Palatino Linotype"/>
          <w:b/>
          <w:spacing w:val="-2"/>
          <w:sz w:val="20"/>
        </w:rPr>
        <w:t>ΠΑΝΕΠΙΣΤΗΜΙΟ</w:t>
      </w:r>
      <w:r>
        <w:rPr>
          <w:rFonts w:ascii="Palatino Linotype" w:hAnsi="Palatino Linotype"/>
          <w:b/>
          <w:spacing w:val="-10"/>
          <w:sz w:val="20"/>
        </w:rPr>
        <w:t xml:space="preserve"> </w:t>
      </w:r>
      <w:r>
        <w:rPr>
          <w:rFonts w:ascii="Palatino Linotype" w:hAnsi="Palatino Linotype"/>
          <w:b/>
          <w:spacing w:val="-2"/>
          <w:sz w:val="20"/>
        </w:rPr>
        <w:t>ΠΕΛΟΠΟΝΝΗΣΟΥ</w:t>
      </w:r>
    </w:p>
    <w:p w:rsidR="0020016B" w:rsidRDefault="00B45635">
      <w:pPr>
        <w:spacing w:before="119"/>
        <w:ind w:left="2760"/>
        <w:rPr>
          <w:rFonts w:ascii="Palatino Linotype" w:hAnsi="Palatino Linotype"/>
          <w:b/>
          <w:sz w:val="20"/>
        </w:rPr>
      </w:pPr>
      <w:r>
        <w:rPr>
          <w:rFonts w:ascii="Palatino Linotype" w:hAnsi="Palatino Linotype"/>
          <w:b/>
          <w:spacing w:val="-2"/>
          <w:sz w:val="20"/>
        </w:rPr>
        <w:t>Σχολή</w:t>
      </w:r>
      <w:r>
        <w:rPr>
          <w:rFonts w:ascii="Palatino Linotype" w:hAnsi="Palatino Linotype"/>
          <w:b/>
          <w:spacing w:val="-7"/>
          <w:sz w:val="20"/>
        </w:rPr>
        <w:t xml:space="preserve"> </w:t>
      </w:r>
      <w:r>
        <w:rPr>
          <w:rFonts w:ascii="Palatino Linotype" w:hAnsi="Palatino Linotype"/>
          <w:b/>
          <w:spacing w:val="-2"/>
          <w:sz w:val="20"/>
        </w:rPr>
        <w:t>Ανθρωπιστικών</w:t>
      </w:r>
      <w:r>
        <w:rPr>
          <w:rFonts w:ascii="Palatino Linotype" w:hAnsi="Palatino Linotype"/>
          <w:b/>
          <w:spacing w:val="-4"/>
          <w:sz w:val="20"/>
        </w:rPr>
        <w:t xml:space="preserve"> </w:t>
      </w:r>
      <w:r>
        <w:rPr>
          <w:rFonts w:ascii="Palatino Linotype" w:hAnsi="Palatino Linotype"/>
          <w:b/>
          <w:spacing w:val="-2"/>
          <w:sz w:val="20"/>
        </w:rPr>
        <w:t>Επιστημών</w:t>
      </w:r>
      <w:r>
        <w:rPr>
          <w:rFonts w:ascii="Palatino Linotype" w:hAnsi="Palatino Linotype"/>
          <w:b/>
          <w:spacing w:val="-6"/>
          <w:sz w:val="20"/>
        </w:rPr>
        <w:t xml:space="preserve"> </w:t>
      </w:r>
      <w:r>
        <w:rPr>
          <w:rFonts w:ascii="Palatino Linotype" w:hAnsi="Palatino Linotype"/>
          <w:b/>
          <w:spacing w:val="-2"/>
          <w:sz w:val="20"/>
        </w:rPr>
        <w:t>και</w:t>
      </w:r>
      <w:r>
        <w:rPr>
          <w:rFonts w:ascii="Palatino Linotype" w:hAnsi="Palatino Linotype"/>
          <w:b/>
          <w:spacing w:val="-7"/>
          <w:sz w:val="20"/>
        </w:rPr>
        <w:t xml:space="preserve"> </w:t>
      </w:r>
      <w:r>
        <w:rPr>
          <w:rFonts w:ascii="Palatino Linotype" w:hAnsi="Palatino Linotype"/>
          <w:b/>
          <w:spacing w:val="-2"/>
          <w:sz w:val="20"/>
        </w:rPr>
        <w:t>Πολιτισμικών</w:t>
      </w:r>
      <w:r>
        <w:rPr>
          <w:rFonts w:ascii="Palatino Linotype" w:hAnsi="Palatino Linotype"/>
          <w:b/>
          <w:spacing w:val="-4"/>
          <w:sz w:val="20"/>
        </w:rPr>
        <w:t xml:space="preserve"> </w:t>
      </w:r>
      <w:r>
        <w:rPr>
          <w:rFonts w:ascii="Palatino Linotype" w:hAnsi="Palatino Linotype"/>
          <w:b/>
          <w:spacing w:val="-2"/>
          <w:sz w:val="20"/>
        </w:rPr>
        <w:t>Σπουδών</w:t>
      </w:r>
    </w:p>
    <w:p w:rsidR="0020016B" w:rsidRDefault="00B45635">
      <w:pPr>
        <w:spacing w:before="129" w:line="296" w:lineRule="exact"/>
        <w:ind w:left="2760"/>
        <w:rPr>
          <w:rFonts w:ascii="Palatino Linotype" w:hAnsi="Palatino Linotype"/>
          <w:b/>
        </w:rPr>
      </w:pPr>
      <w:r>
        <w:rPr>
          <w:rFonts w:ascii="Palatino Linotype" w:hAnsi="Palatino Linotype"/>
          <w:b/>
        </w:rPr>
        <w:t>Τμήμα</w:t>
      </w:r>
      <w:r>
        <w:rPr>
          <w:rFonts w:ascii="Palatino Linotype" w:hAnsi="Palatino Linotype"/>
          <w:b/>
          <w:spacing w:val="-12"/>
        </w:rPr>
        <w:t xml:space="preserve"> </w:t>
      </w:r>
      <w:r>
        <w:rPr>
          <w:rFonts w:ascii="Palatino Linotype" w:hAnsi="Palatino Linotype"/>
          <w:b/>
        </w:rPr>
        <w:t>Ιστορίας,</w:t>
      </w:r>
      <w:r>
        <w:rPr>
          <w:rFonts w:ascii="Palatino Linotype" w:hAnsi="Palatino Linotype"/>
          <w:b/>
          <w:spacing w:val="-12"/>
        </w:rPr>
        <w:t xml:space="preserve"> </w:t>
      </w:r>
      <w:r>
        <w:rPr>
          <w:rFonts w:ascii="Palatino Linotype" w:hAnsi="Palatino Linotype"/>
          <w:b/>
          <w:spacing w:val="-2"/>
        </w:rPr>
        <w:t>Αρχαιολογίας</w:t>
      </w:r>
    </w:p>
    <w:p w:rsidR="0020016B" w:rsidRDefault="00B45635">
      <w:pPr>
        <w:spacing w:line="296" w:lineRule="exact"/>
        <w:ind w:left="2760"/>
        <w:rPr>
          <w:rFonts w:ascii="Palatino Linotype" w:hAnsi="Palatino Linotype"/>
          <w:b/>
        </w:rPr>
      </w:pPr>
      <w:r>
        <w:rPr>
          <w:rFonts w:ascii="Palatino Linotype" w:hAnsi="Palatino Linotype"/>
          <w:b/>
          <w:spacing w:val="-2"/>
        </w:rPr>
        <w:t>και</w:t>
      </w:r>
      <w:r>
        <w:rPr>
          <w:rFonts w:ascii="Palatino Linotype" w:hAnsi="Palatino Linotype"/>
          <w:b/>
          <w:spacing w:val="3"/>
        </w:rPr>
        <w:t xml:space="preserve"> </w:t>
      </w:r>
      <w:r>
        <w:rPr>
          <w:rFonts w:ascii="Palatino Linotype" w:hAnsi="Palatino Linotype"/>
          <w:b/>
          <w:spacing w:val="-2"/>
        </w:rPr>
        <w:t>Διαχείρισης</w:t>
      </w:r>
      <w:r>
        <w:rPr>
          <w:rFonts w:ascii="Palatino Linotype" w:hAnsi="Palatino Linotype"/>
          <w:b/>
          <w:spacing w:val="3"/>
        </w:rPr>
        <w:t xml:space="preserve"> </w:t>
      </w:r>
      <w:r>
        <w:rPr>
          <w:rFonts w:ascii="Palatino Linotype" w:hAnsi="Palatino Linotype"/>
          <w:b/>
          <w:spacing w:val="-2"/>
        </w:rPr>
        <w:t>Πολιτισμικών</w:t>
      </w:r>
      <w:r>
        <w:rPr>
          <w:rFonts w:ascii="Palatino Linotype" w:hAnsi="Palatino Linotype"/>
          <w:b/>
          <w:spacing w:val="1"/>
        </w:rPr>
        <w:t xml:space="preserve"> </w:t>
      </w:r>
      <w:r>
        <w:rPr>
          <w:rFonts w:ascii="Palatino Linotype" w:hAnsi="Palatino Linotype"/>
          <w:b/>
          <w:spacing w:val="-2"/>
        </w:rPr>
        <w:t>Αγαθών</w:t>
      </w:r>
    </w:p>
    <w:p w:rsidR="0020016B" w:rsidRDefault="0020016B">
      <w:pPr>
        <w:pStyle w:val="a3"/>
        <w:spacing w:before="262"/>
        <w:rPr>
          <w:rFonts w:ascii="Palatino Linotype"/>
          <w:b/>
          <w:sz w:val="22"/>
        </w:rPr>
      </w:pPr>
    </w:p>
    <w:p w:rsidR="0020016B" w:rsidRDefault="00B45635">
      <w:pPr>
        <w:ind w:left="753" w:right="222"/>
        <w:jc w:val="center"/>
        <w:rPr>
          <w:rFonts w:ascii="Cambria" w:hAnsi="Cambria"/>
          <w:b/>
          <w:sz w:val="28"/>
        </w:rPr>
      </w:pPr>
      <w:r>
        <w:rPr>
          <w:rFonts w:ascii="Cambria" w:hAnsi="Cambria"/>
          <w:b/>
          <w:color w:val="C00000"/>
          <w:sz w:val="28"/>
        </w:rPr>
        <w:t>Πολιτική</w:t>
      </w:r>
      <w:r>
        <w:rPr>
          <w:rFonts w:ascii="Cambria" w:hAnsi="Cambria"/>
          <w:b/>
          <w:color w:val="C00000"/>
          <w:spacing w:val="-16"/>
          <w:sz w:val="28"/>
        </w:rPr>
        <w:t xml:space="preserve"> </w:t>
      </w:r>
      <w:r>
        <w:rPr>
          <w:rFonts w:ascii="Cambria" w:hAnsi="Cambria"/>
          <w:b/>
          <w:color w:val="C00000"/>
          <w:sz w:val="28"/>
        </w:rPr>
        <w:t>Ποιότητας</w:t>
      </w:r>
      <w:r>
        <w:rPr>
          <w:rFonts w:ascii="Cambria" w:hAnsi="Cambria"/>
          <w:b/>
          <w:color w:val="C00000"/>
          <w:spacing w:val="-13"/>
          <w:sz w:val="28"/>
        </w:rPr>
        <w:t xml:space="preserve"> </w:t>
      </w:r>
      <w:r>
        <w:rPr>
          <w:rFonts w:ascii="Cambria" w:hAnsi="Cambria"/>
          <w:b/>
          <w:color w:val="C00000"/>
          <w:sz w:val="28"/>
        </w:rPr>
        <w:t>του</w:t>
      </w:r>
      <w:r>
        <w:rPr>
          <w:rFonts w:ascii="Cambria" w:hAnsi="Cambria"/>
          <w:b/>
          <w:color w:val="C00000"/>
          <w:spacing w:val="-15"/>
          <w:sz w:val="28"/>
        </w:rPr>
        <w:t xml:space="preserve"> </w:t>
      </w:r>
      <w:r w:rsidR="00E1487E">
        <w:rPr>
          <w:rFonts w:ascii="Cambria" w:hAnsi="Cambria"/>
          <w:b/>
          <w:color w:val="C00000"/>
          <w:spacing w:val="-15"/>
          <w:sz w:val="28"/>
        </w:rPr>
        <w:t xml:space="preserve">ΠΠΣ </w:t>
      </w:r>
    </w:p>
    <w:p w:rsidR="0020016B" w:rsidRDefault="0020016B">
      <w:pPr>
        <w:pStyle w:val="a3"/>
        <w:spacing w:before="194"/>
        <w:rPr>
          <w:rFonts w:ascii="Cambria"/>
          <w:b/>
        </w:rPr>
      </w:pPr>
    </w:p>
    <w:p w:rsidR="00E1487E" w:rsidRDefault="00E1487E" w:rsidP="00E1487E">
      <w:pPr>
        <w:tabs>
          <w:tab w:val="left" w:pos="1233"/>
        </w:tabs>
        <w:spacing w:before="120"/>
        <w:ind w:right="133"/>
        <w:jc w:val="both"/>
      </w:pPr>
      <w:r w:rsidRPr="00E1487E">
        <w:rPr>
          <w:b/>
        </w:rPr>
        <w:t>Άρθρο 1.</w:t>
      </w:r>
      <w:r>
        <w:t xml:space="preserve"> </w:t>
      </w:r>
      <w:r w:rsidRPr="00E1487E">
        <w:rPr>
          <w:b/>
        </w:rPr>
        <w:t>Γενικές αρχές</w:t>
      </w:r>
      <w:r>
        <w:t xml:space="preserve"> </w:t>
      </w:r>
    </w:p>
    <w:p w:rsidR="0020016B" w:rsidRDefault="00E1487E" w:rsidP="00E1487E">
      <w:pPr>
        <w:tabs>
          <w:tab w:val="left" w:pos="1233"/>
        </w:tabs>
        <w:spacing w:before="120"/>
        <w:ind w:right="133"/>
        <w:jc w:val="both"/>
      </w:pPr>
      <w:r>
        <w:t xml:space="preserve">Η Πολιτική Ποιότητας του Τμήματος Ιστορίας, Αρχαιολογίας και Διαχείρισης Πολιτισμικών Αγαθών </w:t>
      </w:r>
      <w:r w:rsidR="00943C8F">
        <w:t xml:space="preserve">(στο εξής ΤΙΑΔΠΑ) </w:t>
      </w:r>
      <w:r>
        <w:t xml:space="preserve">εναρμονίζεται με την πολιτική ποιότητας του Πανεπιστήμιου Πελοποννήσου και αντικατοπτρίζει τις βασικές αξίες του Ιδρύματος. Η Πολιτική Ποιότητας του Ιδρύματος είναι διαθέσιμη στον δικτυακό του τόπο και στο σύνδεσμο </w:t>
      </w:r>
      <w:hyperlink r:id="rId8" w:history="1">
        <w:r w:rsidR="00943C8F" w:rsidRPr="0066758D">
          <w:rPr>
            <w:rStyle w:val="-"/>
          </w:rPr>
          <w:t>https://modip.uop.gr/index.php/diasfalisi-poiotitas/politiki-poiotitas</w:t>
        </w:r>
      </w:hyperlink>
      <w:r w:rsidR="00943C8F">
        <w:t xml:space="preserve"> </w:t>
      </w:r>
      <w:r>
        <w:t xml:space="preserve"> Η Πολιτική Ποιότητας του </w:t>
      </w:r>
      <w:r w:rsidR="00943C8F">
        <w:t>ΤΙΑΔΠΑ</w:t>
      </w:r>
      <w:r>
        <w:t xml:space="preserve"> αφορά στον καθορισμό και την υλοποίηση στόχων ποιότητας αναφορικά με την οργάνωση και λειτουργία του Προπτυχιακού Προγράμματος Σπουδών (</w:t>
      </w:r>
      <w:r w:rsidR="00943C8F">
        <w:t xml:space="preserve">στο εξής: </w:t>
      </w:r>
      <w:r>
        <w:t>ΠΠΣ) του Τμήματος, αλλά και την οργάνωση και λειτουργία υπαρχουσών μεταπτυχιακών κύκλων σπουδών και την εκτέλεση ερευνητικών δραστηριοτήτων. Δημοσιοποιείται και εφαρμόζεται με τη συμμετοχή όλων των ενδιαφερόμενων μερών (Πρόεδρος και Συνέλευση του Τμήματος Διδακτικό προσωπικό, Διοικητικό προσωπικό, Τεχνικό προσωπικό φοιτητές/</w:t>
      </w:r>
      <w:proofErr w:type="spellStart"/>
      <w:r>
        <w:t>τριες</w:t>
      </w:r>
      <w:proofErr w:type="spellEnd"/>
      <w:r>
        <w:t>, εξωτερικοί συνεργάτες, κ.λπ.). Το Τμήμα έχει ως όραμα την παροχή στους φοιτητές του σύγχρονη και υψηλής ποιότητας εκπαίδευση</w:t>
      </w:r>
      <w:r w:rsidR="00943C8F">
        <w:t>,</w:t>
      </w:r>
      <w:r>
        <w:t xml:space="preserve"> ενώ παράλληλα ενθαρρύνει και υποστηρίξει τη διεξαγωγή επιστημονικής έρευνας και την παραγωγή καινοτομίας και νέας γνώσης σε θεματικές περιοχές της </w:t>
      </w:r>
      <w:r w:rsidR="00943C8F">
        <w:t xml:space="preserve">Ιστορίας, της Αρχαιολογίας αλλά και της Πολιτισμικής διαχείρισης </w:t>
      </w:r>
      <w:r>
        <w:t xml:space="preserve">προς όφελος της κοινωνίας τόσο σε τοπικό, όσο και σε περιφερειακό, εθνικό αλλά και διεθνές επίπεδο, καθώς επίσης και τη συμμετοχή σε εθνικά και ευρωπαϊκά ανταγωνιστικά ερευνητικά και αναπτυξιακά έργα για την προσέλκυση εξωτερικών πόρων. Το Τμήμα μεριμνά για τη διασφάλιση και ανάδειξη της ποιότητας του διδακτικού, ερευνητικού, και διοικητικού του έργου, με στόχο τη διαρκή βελτίωση των λειτουργιών του με τη συμμετοχή και συμβολή όλων των μελών του, σε τομείς </w:t>
      </w:r>
      <w:r w:rsidR="00943C8F">
        <w:t>σχετικούς με τα επιστημονικά αντικείμενα που θεραπεύονται από αυτό</w:t>
      </w:r>
      <w:r>
        <w:t xml:space="preserve">, προσανατολισμένων στις σύγχρονες τάσεις της επιστήμης και σε τεχνολογίες αιχμής, ενισχύοντας κατ’ αυτόν τον τρόπο την ακαδημαϊκή του ταυτότητα και τη διασύνδεση με τις ανάγκες της αγοράς εργασίας. Επιπρόσθετα, το Τμήμα είναι προσηλωμένο στην προσπάθεια ανάπτυξης ενός δημιουργικού περιβάλλοντος έρευνας, καινοτομίας, και απασχόλησης για όλο το προσωπικό, διδακτικό, ερευνητικό, και διοικητικό, καθώς κι ενός δημιουργικού ακαδημαϊκού περιβάλλοντος για </w:t>
      </w:r>
      <w:r w:rsidR="00943C8F">
        <w:t>τους/τις</w:t>
      </w:r>
      <w:r>
        <w:t xml:space="preserve"> φοιτητές</w:t>
      </w:r>
      <w:r w:rsidR="00943C8F">
        <w:t>/</w:t>
      </w:r>
      <w:proofErr w:type="spellStart"/>
      <w:r w:rsidR="00943C8F">
        <w:t>τριες</w:t>
      </w:r>
      <w:proofErr w:type="spellEnd"/>
      <w:r>
        <w:t xml:space="preserve"> του. Όλες οι δραστηριότητες του Τμήματος πραγματοποιούνται σε ένα περιβάλλον ακαδημαϊκής ελευθερίας και ίσων ευκαιριών, με πλήρη σεβασμό στην ακαδημαϊκή δεοντολογία, τον δημοκρατικό διάλογο και τη διαφορετικότητα, και με πλήρη υποστήριξη των ευαίσθητων κοινωνικών ομάδων. Η ποιότητα αναγνωρίζεται ως θεμελιακό στοιχείο για την πραγμάτωση του οράματος και την επίτευξη της αποστολής του Τμήματος, και συνεπώς είναι σημαντική η δημιουργία κουλτούρας ποιότητας. Το Τμήμα έχει ως στόχο τη διαρκή βελτίωση όλων των εκπαιδευτικών προγραμμάτων του, ώστε να παρέχει στους φοιτητές/</w:t>
      </w:r>
      <w:proofErr w:type="spellStart"/>
      <w:r>
        <w:t>τριες</w:t>
      </w:r>
      <w:proofErr w:type="spellEnd"/>
      <w:r>
        <w:t xml:space="preserve"> εξαιρετική εκπαίδευση που τους προετοιμάζει για επιτυχημένη σταδιοδρομία. Το </w:t>
      </w:r>
      <w:r w:rsidR="00943C8F">
        <w:t>ΤΙΑΔΠΑ</w:t>
      </w:r>
      <w:r>
        <w:t xml:space="preserve"> δεσμεύεται για την εφαρμογή της πολιτικής ποιότητας, η οποία ενισχύει την ακαδημαϊκή αριστεία αλλά και τον προσανατολισμό του προγράμματος προπτυχιακών σπουδών. Επιπλέον, η πολιτική ποιότητας διασφαλίζει τη συμμετοχή όλων των εμπλεκομένων για την υλοποίηση των στρατηγικών στόχων των προγραμμάτων μέσω σαφώς οριζόμενων δράσεων και μέσων επίτευξης τους, ενώ εφαρμόζει τις ενδεδειγμένες εσωτερικές και εξωτερικές διαδικασίες ποιότητας με απώτερο σκοπό τη διαρκή βελτίωσή τους. Πέραν των ανωτέρω, το Τμήμα μεριμνά για την ύπαρξη κλίματος επικοινωνίας και συνεργασίας εντός της ακαδημαϊκής κοινότητας του Τμήματος (διδασκόντων, ερευνητών, φοιτητών, διοικητικού προσωπικού, και λοιπών ενδιαφερομένων).</w:t>
      </w:r>
    </w:p>
    <w:p w:rsidR="00943C8F" w:rsidRDefault="00943C8F" w:rsidP="00E1487E">
      <w:pPr>
        <w:tabs>
          <w:tab w:val="left" w:pos="1233"/>
        </w:tabs>
        <w:spacing w:before="120"/>
        <w:ind w:right="133"/>
        <w:jc w:val="both"/>
      </w:pPr>
    </w:p>
    <w:p w:rsidR="00943C8F" w:rsidRPr="00943C8F" w:rsidRDefault="00943C8F" w:rsidP="00943C8F">
      <w:pPr>
        <w:tabs>
          <w:tab w:val="left" w:pos="1233"/>
        </w:tabs>
        <w:spacing w:before="120"/>
        <w:ind w:right="133"/>
        <w:jc w:val="both"/>
        <w:rPr>
          <w:b/>
        </w:rPr>
      </w:pPr>
      <w:r w:rsidRPr="00943C8F">
        <w:rPr>
          <w:b/>
        </w:rPr>
        <w:t>Άρθρο 2. Διαδικασίες διασφάλισης ποιότητας</w:t>
      </w:r>
    </w:p>
    <w:p w:rsidR="00943C8F" w:rsidRDefault="00943C8F" w:rsidP="00943C8F">
      <w:pPr>
        <w:tabs>
          <w:tab w:val="left" w:pos="1233"/>
        </w:tabs>
        <w:spacing w:before="120"/>
        <w:ind w:right="133"/>
        <w:jc w:val="both"/>
      </w:pPr>
      <w:r w:rsidRPr="00943C8F">
        <w:t xml:space="preserve">Το </w:t>
      </w:r>
      <w:r>
        <w:t>ΤΙΑΔΠΑ</w:t>
      </w:r>
      <w:r w:rsidRPr="00943C8F">
        <w:t xml:space="preserve"> εφαρμόζει τις διαδικασίες διασφάλισης ποιότητας</w:t>
      </w:r>
      <w:r>
        <w:t xml:space="preserve"> </w:t>
      </w:r>
      <w:r w:rsidRPr="00943C8F">
        <w:t xml:space="preserve">που προβλέπονται από το Εσωτερικό </w:t>
      </w:r>
      <w:r w:rsidRPr="00943C8F">
        <w:lastRenderedPageBreak/>
        <w:t>Σύστημα Διασφάλισης Ποιότητας (ΕΣΔΠ) του Ιδρύματος,</w:t>
      </w:r>
      <w:r>
        <w:t xml:space="preserve"> </w:t>
      </w:r>
      <w:r w:rsidRPr="00943C8F">
        <w:t xml:space="preserve">διαθέσιμο στον σύνδεσμο </w:t>
      </w:r>
      <w:hyperlink r:id="rId9" w:history="1">
        <w:r w:rsidRPr="0066758D">
          <w:rPr>
            <w:rStyle w:val="-"/>
          </w:rPr>
          <w:t>https://modip.uop.gr/quality-policy</w:t>
        </w:r>
      </w:hyperlink>
      <w:r w:rsidRPr="00943C8F">
        <w:t xml:space="preserve"> Η εφαρμογή των διαδικασιών του</w:t>
      </w:r>
      <w:r>
        <w:t xml:space="preserve"> </w:t>
      </w:r>
      <w:r w:rsidRPr="00943C8F">
        <w:t>ΕΣΔΠ πραγματοποιείται σε συνεργασία με τη Μονάδα Διασφάλισης Ποιότητας (ΜΟΔΙΠ) του</w:t>
      </w:r>
      <w:r>
        <w:t xml:space="preserve"> </w:t>
      </w:r>
      <w:r w:rsidRPr="00943C8F">
        <w:t>Πανεπιστημίου Πελοποννήσου. Οι διαδικασίες διασφάλισης ποιότητας αποτελούν πολύτιμο</w:t>
      </w:r>
      <w:r>
        <w:t xml:space="preserve"> </w:t>
      </w:r>
      <w:r w:rsidRPr="00943C8F">
        <w:t xml:space="preserve">εργαλείο </w:t>
      </w:r>
      <w:r>
        <w:t>όχι μόνο για το ΠΠΣ αλλά και τα επιμέρους ΠΜΣ του Τμήματος,</w:t>
      </w:r>
      <w:r w:rsidRPr="00943C8F">
        <w:t xml:space="preserve"> για την υλοποίηση των διδακτικών κι ερευνητικών</w:t>
      </w:r>
      <w:r>
        <w:t xml:space="preserve"> </w:t>
      </w:r>
      <w:r w:rsidRPr="00943C8F">
        <w:t>τους δραστηριοτήτων, την επίτευξη των στόχων που έχουν τεθεί, και την αναβάθμιση του εν γένει</w:t>
      </w:r>
      <w:r>
        <w:t xml:space="preserve"> </w:t>
      </w:r>
      <w:r w:rsidRPr="00943C8F">
        <w:t>ακαδημαϊκού έργου.</w:t>
      </w:r>
    </w:p>
    <w:p w:rsidR="00943C8F" w:rsidRDefault="00943C8F" w:rsidP="00943C8F">
      <w:pPr>
        <w:tabs>
          <w:tab w:val="left" w:pos="1233"/>
        </w:tabs>
        <w:spacing w:before="120"/>
        <w:ind w:right="133"/>
        <w:jc w:val="both"/>
      </w:pPr>
      <w:r w:rsidRPr="00943C8F">
        <w:t xml:space="preserve">Η Πολιτική Ποιότητας του </w:t>
      </w:r>
      <w:r>
        <w:t>ΤΙΑΔΠΑ</w:t>
      </w:r>
      <w:r w:rsidRPr="00943C8F">
        <w:t xml:space="preserve"> εφαρμόζεται με </w:t>
      </w:r>
      <w:r>
        <w:t xml:space="preserve">τις </w:t>
      </w:r>
      <w:r w:rsidRPr="00943C8F">
        <w:t>παρακάτω διαδικασίες διασφάλισης ποιότητας:</w:t>
      </w:r>
    </w:p>
    <w:p w:rsidR="00943C8F" w:rsidRPr="00943C8F" w:rsidRDefault="00943C8F" w:rsidP="00943C8F">
      <w:pPr>
        <w:tabs>
          <w:tab w:val="left" w:pos="1233"/>
        </w:tabs>
        <w:spacing w:before="120"/>
        <w:ind w:right="133"/>
        <w:jc w:val="both"/>
      </w:pPr>
      <w:r w:rsidRPr="00943C8F">
        <w:t>α) Καταλληλότητα της δομής και της οργάνωσης του ΠΠΣ: Το ΠΠΣ αναπτύχθηκε και αναμορφώνεται βάσει του διεθνούς επιστημονικού γίγνεσθαι, των εξελίξεων και των τάσεων σε</w:t>
      </w:r>
      <w:r>
        <w:t xml:space="preserve"> </w:t>
      </w:r>
      <w:r w:rsidRPr="00943C8F">
        <w:t xml:space="preserve">επιμέρους επιστημονικούς τομείς </w:t>
      </w:r>
      <w:r>
        <w:t>που θεραπεύονται από το Τμήμα</w:t>
      </w:r>
      <w:r w:rsidRPr="00943C8F">
        <w:t>, των αναγκών</w:t>
      </w:r>
      <w:r>
        <w:t xml:space="preserve"> </w:t>
      </w:r>
      <w:r w:rsidRPr="00943C8F">
        <w:t>της αγοράς εργασίας και της ανάδρασης που λαμβάνεται από την περιοδική αξιολόγηση</w:t>
      </w:r>
      <w:r>
        <w:t xml:space="preserve"> </w:t>
      </w:r>
      <w:r w:rsidRPr="00943C8F">
        <w:t xml:space="preserve">(αποτελέσματα των εσωτερικών και εξωτερικών του αξιολογήσεων καθώς και </w:t>
      </w:r>
      <w:r>
        <w:t xml:space="preserve">τις </w:t>
      </w:r>
      <w:r w:rsidRPr="00943C8F">
        <w:t>εκθέσεις πιστοποίησης).</w:t>
      </w:r>
    </w:p>
    <w:p w:rsidR="00943C8F" w:rsidRPr="00943C8F" w:rsidRDefault="00943C8F" w:rsidP="00B558E0">
      <w:pPr>
        <w:tabs>
          <w:tab w:val="left" w:pos="1233"/>
        </w:tabs>
        <w:spacing w:before="120"/>
        <w:ind w:right="133"/>
        <w:jc w:val="both"/>
      </w:pPr>
      <w:r w:rsidRPr="00943C8F">
        <w:t>β) Επιδίωξη μαθησιακών αποτελεσμάτων και προσόντων σύμφωνα με το Ευρωπαϊκό και το</w:t>
      </w:r>
      <w:r w:rsidR="00B558E0" w:rsidRPr="00B558E0">
        <w:t xml:space="preserve"> </w:t>
      </w:r>
      <w:r w:rsidRPr="00943C8F">
        <w:t>Εθνικό Πλαίσιο Προσόντων Ανώτατης Εκπαίδευσης: Σε ευθυγράμμιση με το Εθνικό</w:t>
      </w:r>
      <w:r w:rsidR="00B558E0" w:rsidRPr="00B558E0">
        <w:t xml:space="preserve"> </w:t>
      </w:r>
      <w:r w:rsidRPr="00943C8F">
        <w:t>Πλαίσιο Προσόντων (https://proson.eoppep.gr/el) στόχος των μαθησιακών αποτ</w:t>
      </w:r>
      <w:r w:rsidR="00B558E0">
        <w:t>ελεσμάτων του ΠΠΣ του Τ</w:t>
      </w:r>
      <w:r w:rsidR="00B558E0">
        <w:rPr>
          <w:lang w:val="en-US"/>
        </w:rPr>
        <w:t>IA</w:t>
      </w:r>
      <w:r w:rsidR="00B558E0">
        <w:t xml:space="preserve">ΔΠΑ </w:t>
      </w:r>
      <w:r w:rsidRPr="00943C8F">
        <w:t>είναι οι απόφοιτοί του να</w:t>
      </w:r>
      <w:r w:rsidR="00B558E0">
        <w:t xml:space="preserve"> </w:t>
      </w:r>
      <w:r w:rsidRPr="00943C8F">
        <w:t>διαθέτουν το απαραίτητο επιστημονικό υπόβαθρο, αναλυτικό και συγκροτημένο τρόπο</w:t>
      </w:r>
      <w:r w:rsidR="00B558E0">
        <w:t xml:space="preserve"> </w:t>
      </w:r>
      <w:r w:rsidRPr="00943C8F">
        <w:t>επιστημονικής σκέψης και να συνδυάζουν τη θεωρία με την πράξη, σε ευρεία θεματολογία</w:t>
      </w:r>
      <w:r w:rsidR="00B558E0">
        <w:t xml:space="preserve"> του επιστημονικών πεδίων που θεραπεύονται από το Τμήμα</w:t>
      </w:r>
      <w:r w:rsidRPr="00943C8F">
        <w:t>, ώστε ν</w:t>
      </w:r>
      <w:r w:rsidR="00B558E0">
        <w:t>α είναι σε θέση να απασχοληθούν στους σχετικούς επαγγελματικούς χώρους.</w:t>
      </w:r>
    </w:p>
    <w:p w:rsidR="00B558E0" w:rsidRDefault="00943C8F" w:rsidP="00943C8F">
      <w:pPr>
        <w:tabs>
          <w:tab w:val="left" w:pos="1233"/>
        </w:tabs>
        <w:spacing w:before="120"/>
        <w:ind w:right="133"/>
        <w:jc w:val="both"/>
      </w:pPr>
      <w:r w:rsidRPr="00943C8F">
        <w:t>γ) Προώθηση της ποιότητας και αποτελεσματικότητας του διδακτικού έργου: Υπάρχει</w:t>
      </w:r>
      <w:r w:rsidR="00B558E0">
        <w:t xml:space="preserve"> </w:t>
      </w:r>
      <w:r w:rsidRPr="00943C8F">
        <w:t>διαρκής παρακολούθηση, αξιολόγηση και αναθεώρηση του διδακτικού έργου από την</w:t>
      </w:r>
      <w:r w:rsidR="00B558E0">
        <w:t xml:space="preserve"> </w:t>
      </w:r>
      <w:r w:rsidRPr="00943C8F">
        <w:t>ΟΜΕΑ. Ενθαρρύνεται η εργαστηριακή άσκηση στα μαθήματα. Ενθαρρύνεται η</w:t>
      </w:r>
      <w:r w:rsidR="00B558E0" w:rsidRPr="00B558E0">
        <w:t xml:space="preserve"> </w:t>
      </w:r>
      <w:proofErr w:type="spellStart"/>
      <w:r w:rsidRPr="00943C8F">
        <w:t>φοιτητοκεντρική</w:t>
      </w:r>
      <w:proofErr w:type="spellEnd"/>
      <w:r w:rsidRPr="00943C8F">
        <w:t xml:space="preserve"> μάθηση (πολλαπλοί τρόποι εξέτασης, ομαδικές και ατομικές εργασίες</w:t>
      </w:r>
      <w:r w:rsidR="00B558E0">
        <w:t xml:space="preserve"> </w:t>
      </w:r>
      <w:r w:rsidRPr="00943C8F">
        <w:t>κ.λπ.).</w:t>
      </w:r>
      <w:r w:rsidR="00B558E0" w:rsidRPr="00B558E0">
        <w:t xml:space="preserve"> </w:t>
      </w:r>
      <w:r w:rsidRPr="00943C8F">
        <w:t>Πραγματοποιούνται εκπαιδευτικές επισκέψεις σε χώρους ενδιαφέροντος</w:t>
      </w:r>
      <w:r w:rsidR="00B558E0" w:rsidRPr="00B558E0">
        <w:t xml:space="preserve"> (</w:t>
      </w:r>
      <w:r w:rsidR="00B558E0">
        <w:t>π.χ. βιβλιοθήκες, αρχεία, αρχαιολογικούς χώρους, μουσεία, πολιτιστικούς φορείς και οργανισμούς)</w:t>
      </w:r>
    </w:p>
    <w:p w:rsidR="00943C8F" w:rsidRPr="00943C8F" w:rsidRDefault="00943C8F" w:rsidP="00943C8F">
      <w:pPr>
        <w:tabs>
          <w:tab w:val="left" w:pos="1233"/>
        </w:tabs>
        <w:spacing w:before="120"/>
        <w:ind w:right="133"/>
        <w:jc w:val="both"/>
      </w:pPr>
      <w:r w:rsidRPr="00943C8F">
        <w:t>δ) Καταλληλότητα των προσόντων του διδακτικού προσωπικού: Λαμβάνεται μέριμνα για την</w:t>
      </w:r>
      <w:r w:rsidR="00B558E0">
        <w:t xml:space="preserve"> </w:t>
      </w:r>
      <w:r w:rsidRPr="00943C8F">
        <w:t>κατάλληλης στελέχωσης του Τμήματος όπως περιγράφεται στη Στρατηγική του Τμήματος</w:t>
      </w:r>
      <w:r w:rsidR="00B558E0">
        <w:t xml:space="preserve"> </w:t>
      </w:r>
      <w:r w:rsidRPr="00943C8F">
        <w:t>και τον Προγραμματισμό θέσεων ΔΕΠ και ΕΔΙΠ του Τμήματος, έτσι ώστε τα γνωστικά</w:t>
      </w:r>
      <w:r w:rsidR="00B558E0">
        <w:t xml:space="preserve"> </w:t>
      </w:r>
      <w:r w:rsidRPr="00943C8F">
        <w:t xml:space="preserve">αντικείμενα των μελών ΔΕΠ </w:t>
      </w:r>
      <w:r w:rsidR="00B558E0">
        <w:t xml:space="preserve">και ΕΔΙΠ </w:t>
      </w:r>
      <w:r w:rsidRPr="00943C8F">
        <w:t>του Τμήματος να κατανέμονται σε όλο το φάσμα των</w:t>
      </w:r>
      <w:r w:rsidR="00B558E0">
        <w:t xml:space="preserve"> επιστημονικών</w:t>
      </w:r>
      <w:r w:rsidRPr="00943C8F">
        <w:t xml:space="preserve"> πεδίων που εμπίπτουν στο ΠΠΣ. Κατάρτιση και περιοδική αναθεώρηση των</w:t>
      </w:r>
      <w:r w:rsidR="00B558E0">
        <w:t xml:space="preserve"> </w:t>
      </w:r>
      <w:r w:rsidRPr="00943C8F">
        <w:t xml:space="preserve">μητρώων γνωστικού αντικειμένου εσωτερικών και εξωτερικών εκλεκτόρων για </w:t>
      </w:r>
      <w:r w:rsidR="00B558E0">
        <w:t xml:space="preserve">τις </w:t>
      </w:r>
      <w:r w:rsidRPr="00943C8F">
        <w:t>διαδικασίες εκλογής μελών ΔΕΠ του Τμήματος. Προγραμματισμός και ετήσια</w:t>
      </w:r>
      <w:r w:rsidR="00B558E0">
        <w:t xml:space="preserve"> </w:t>
      </w:r>
      <w:r w:rsidRPr="00943C8F">
        <w:t>πρόταση Τμήματος για νέες θέσεις ΔΕΠ/ΕΔΙΠ.</w:t>
      </w:r>
    </w:p>
    <w:p w:rsidR="00F627C8" w:rsidRDefault="00943C8F" w:rsidP="00943C8F">
      <w:pPr>
        <w:tabs>
          <w:tab w:val="left" w:pos="1233"/>
        </w:tabs>
        <w:spacing w:before="120"/>
        <w:ind w:right="133"/>
        <w:jc w:val="both"/>
      </w:pPr>
      <w:r w:rsidRPr="00943C8F">
        <w:t>ε) Προώθηση της ποιότητας και ποσότητας του ερευνητικού έργου των μελών ΔΕΠ/ΕΔΙΠ:</w:t>
      </w:r>
      <w:r w:rsidR="00B558E0">
        <w:t xml:space="preserve"> </w:t>
      </w:r>
      <w:r w:rsidRPr="00943C8F">
        <w:t>Ενθαρρύνεται η ερευνητική συνεργασία μεταξύ των μελών ΔΕΠ/ΕΔΙΠ, η υποβολή</w:t>
      </w:r>
      <w:r w:rsidR="00B558E0">
        <w:t xml:space="preserve"> </w:t>
      </w:r>
      <w:r w:rsidRPr="00943C8F">
        <w:t>ερευνητικών προτάσεων για την χρηματοδότηση του ερευνητικού έργου σε εθνικό και</w:t>
      </w:r>
      <w:r w:rsidR="00B558E0">
        <w:t xml:space="preserve"> </w:t>
      </w:r>
      <w:r w:rsidRPr="00943C8F">
        <w:t>διεθνές επίπεδο. Ενθάρρυνση της ερευνητικής συνεργ</w:t>
      </w:r>
      <w:r w:rsidRPr="00943C8F">
        <w:rPr>
          <w:sz w:val="24"/>
        </w:rPr>
        <w:t>ασίας μεταξύ των μελών ΔΕΠ/ΕΔΙΠ</w:t>
      </w:r>
      <w:r w:rsidR="00F627C8">
        <w:rPr>
          <w:sz w:val="24"/>
        </w:rPr>
        <w:t xml:space="preserve"> </w:t>
      </w:r>
      <w:r w:rsidR="00F627C8">
        <w:t xml:space="preserve">του Τμήματος και ερευνητικών ομάδων Τμημάτων Ελληνικών Πανεπιστημίων και Ερευνητικών Κέντρων ή Πανεπιστημίων και Ερευνητικών Κέντρων της αλλοδαπής. </w:t>
      </w:r>
    </w:p>
    <w:p w:rsidR="00812A03" w:rsidRDefault="00F627C8" w:rsidP="00943C8F">
      <w:pPr>
        <w:tabs>
          <w:tab w:val="left" w:pos="1233"/>
        </w:tabs>
        <w:spacing w:before="120"/>
        <w:ind w:right="133"/>
        <w:jc w:val="both"/>
      </w:pPr>
      <w:r>
        <w:t>στ) Τρόποι σύνδεσης της διδασκαλίας με την έρευνα: Μέσω της απασχόλησης φοιτητών</w:t>
      </w:r>
      <w:r w:rsidR="000526DD">
        <w:t>/τριών</w:t>
      </w:r>
      <w:r>
        <w:t xml:space="preserve"> κατά την εκπόνηση της πτυχιακής τους σε ερευνητικά έργα και την ενθάρρυνση και υποστήριξή τους στη συμμετοχή στη συγγραφή επιστημονικών εργασιών. Συμμετοχή των φοιτητών/τριών σε σεμινάρια, συνέδρια, θερινά σχο</w:t>
      </w:r>
      <w:r w:rsidR="00812A03">
        <w:t>λεία και επιστημονικές ημερίδες αλλά και την οργάνωση φοιτητικών συνεδρίων.</w:t>
      </w:r>
    </w:p>
    <w:p w:rsidR="00812A03" w:rsidRDefault="00F627C8" w:rsidP="00943C8F">
      <w:pPr>
        <w:tabs>
          <w:tab w:val="left" w:pos="1233"/>
        </w:tabs>
        <w:spacing w:before="120"/>
        <w:ind w:right="133"/>
        <w:jc w:val="both"/>
      </w:pPr>
      <w:r>
        <w:t xml:space="preserve"> ζ) Το επίπεδο ζήτησης των αποκτώμενων προσόντων των αποφοίτων στην αγορά εργασίας: Λαμβάνονται υπόψη οι σύγχρονες απαιτήσεις και τάσεις της αγοράς εργασίας στον ευρύτερο χώρο </w:t>
      </w:r>
      <w:r w:rsidR="00812A03">
        <w:t xml:space="preserve">των επιστημονικών πεδίων που υπηρετεί το Τμήμα </w:t>
      </w:r>
      <w:r>
        <w:t xml:space="preserve">αναφορικά με τις γνώσεις και τις δεξιότητες που πρέπει να έχουν οι απόφοιτοί </w:t>
      </w:r>
      <w:r w:rsidR="00812A03">
        <w:t>μας</w:t>
      </w:r>
      <w:r>
        <w:t xml:space="preserve">, μέσω της έκθεσης της «Επιτροπή διασύνδεσης με αγορά εργασίας». </w:t>
      </w:r>
    </w:p>
    <w:p w:rsidR="00812A03" w:rsidRDefault="00F627C8" w:rsidP="00943C8F">
      <w:pPr>
        <w:tabs>
          <w:tab w:val="left" w:pos="1233"/>
        </w:tabs>
        <w:spacing w:before="120"/>
        <w:ind w:right="133"/>
        <w:jc w:val="both"/>
      </w:pPr>
      <w:r>
        <w:t>η) Την ποιότητα των υποστηρικτικών υπηρεσιών, όπως διοικητικές υπηρεσίες, βιβλιοθήκες και υπηρεσίες φοιτητικής μέριμνας: Το Τμήμα παρέχει μια σειρά από υποστηρικτικές υπηρεσίες για τους/τις φοιτητές/</w:t>
      </w:r>
      <w:proofErr w:type="spellStart"/>
      <w:r>
        <w:t>τριες</w:t>
      </w:r>
      <w:proofErr w:type="spellEnd"/>
      <w:r>
        <w:t xml:space="preserve"> όπως: Ιστοσελίδα, Υπηρεσία Ηλεκτρονικής Γραμματείας, E-</w:t>
      </w:r>
      <w:proofErr w:type="spellStart"/>
      <w:r>
        <w:t>learning</w:t>
      </w:r>
      <w:proofErr w:type="spellEnd"/>
      <w:r>
        <w:t xml:space="preserve"> για σύγχρονη και ασύγχρονη διδασκαλία και επικοινωνία, Βιβλιοθήκη με αναγνωστήριο, Γραφείο Διασύνδεσης Σπουδών και Σταδιοδρομίας, Πρόγραμμα ERASMUS+ (Μαθήματα και/ή Πρακτική Άσκηση), Προγράμματα Πρακτικής Άσκησης. </w:t>
      </w:r>
    </w:p>
    <w:p w:rsidR="00812A03" w:rsidRDefault="00F627C8" w:rsidP="00943C8F">
      <w:pPr>
        <w:tabs>
          <w:tab w:val="left" w:pos="1233"/>
        </w:tabs>
        <w:spacing w:before="120"/>
        <w:ind w:right="133"/>
        <w:jc w:val="both"/>
      </w:pPr>
      <w:r>
        <w:lastRenderedPageBreak/>
        <w:t xml:space="preserve">θ) Διαρκή παρακολούθηση και </w:t>
      </w:r>
      <w:proofErr w:type="spellStart"/>
      <w:r>
        <w:t>επικαιροποίηση</w:t>
      </w:r>
      <w:proofErr w:type="spellEnd"/>
      <w:r>
        <w:t xml:space="preserve"> του συστήματος διασφάλισης ποιότητας, καθώς και τη συνεργασία του Τμήματος, της ΟΜΕΑ και των λοιπών οργάνων του τμήματος με τη ΜΟΔΙΠ και την ΕΘΑΑΕ. </w:t>
      </w:r>
    </w:p>
    <w:p w:rsidR="00812A03" w:rsidRDefault="00F627C8" w:rsidP="00943C8F">
      <w:pPr>
        <w:tabs>
          <w:tab w:val="left" w:pos="1233"/>
        </w:tabs>
        <w:spacing w:before="120"/>
        <w:ind w:right="133"/>
        <w:jc w:val="both"/>
      </w:pPr>
      <w:r>
        <w:t xml:space="preserve">Για την υλοποίηση των ανωτέρω, έχουν συσταθεί οι ακόλουθες επιτροπές του Τμήματος </w:t>
      </w:r>
    </w:p>
    <w:p w:rsidR="00812A03" w:rsidRDefault="00F627C8" w:rsidP="00943C8F">
      <w:pPr>
        <w:tabs>
          <w:tab w:val="left" w:pos="1233"/>
        </w:tabs>
        <w:spacing w:before="120"/>
        <w:ind w:right="133"/>
        <w:jc w:val="both"/>
      </w:pPr>
      <w:r>
        <w:t xml:space="preserve">α) Ομάδα εσωτερικής αξιολόγησης. O ρόλος της ΟΜΕΑ, η οποία ορίζεται από τη Συνέλευση του Τμήματος, είναι η συλλογή πληροφοριών, για τη διασφάλιση ποιότητας στο ΠΠΣ και στη λειτουργία του Τμήματος. Προετοιμάζει εκθέσεις εσωτερικής αξιολόγησης, έχοντας λάβει υπόψη αναφορές και στοιχεία άλλων επιτροπών, οι οποίες τροφοδοτούν τα θεσμικά όργανα του Τμήματος και τη ΜΟ.ΔΙ.Π. του Ιδρύματος. </w:t>
      </w:r>
    </w:p>
    <w:p w:rsidR="00812A03" w:rsidRDefault="00812A03" w:rsidP="00943C8F">
      <w:pPr>
        <w:tabs>
          <w:tab w:val="left" w:pos="1233"/>
        </w:tabs>
        <w:spacing w:before="120"/>
        <w:ind w:right="133"/>
        <w:jc w:val="both"/>
      </w:pPr>
      <w:r>
        <w:t>β</w:t>
      </w:r>
      <w:r w:rsidR="00F627C8">
        <w:t>) Επιτροπή προγράμματος σπουδών</w:t>
      </w:r>
      <w:r>
        <w:t>: Αντικείμενο της επιτροπής Π</w:t>
      </w:r>
      <w:r w:rsidR="00F627C8">
        <w:t>Σ είναι μεταξύ άλλων η παρακολούθηση της υλοποίησης του ΠΠΣ και ο συντονισμός των εκ</w:t>
      </w:r>
      <w:r>
        <w:t>παιδευτικών δραστηριοτήτων του</w:t>
      </w:r>
      <w:r w:rsidR="007A1DA4">
        <w:t xml:space="preserve"> και</w:t>
      </w:r>
    </w:p>
    <w:p w:rsidR="007A1DA4" w:rsidRDefault="007A1DA4" w:rsidP="00943C8F">
      <w:pPr>
        <w:tabs>
          <w:tab w:val="left" w:pos="1233"/>
        </w:tabs>
        <w:spacing w:before="120"/>
        <w:ind w:right="133"/>
        <w:jc w:val="both"/>
      </w:pPr>
      <w:r>
        <w:t>γ) Επιτροπή Διεθνών Σχέσεων και ERASMUS+. Ορίζεται από τη Συνέλευση του Τμήματος με κύρια αποστολή την πληροφόρηση των φοιτητών, μελών Δ.Ε.Π. και προσωπικού σχετικά με τις ευκαιρίες που προσφέρει το πρόγραμμα ERASMUS+ για κινητικότητα σε Ιδρύματα της αλλοδαπής, την υποστήριξη και συμβουλευτική των συμμετεχόντων καθ’ όλη τη διάρκεια, την ανάπτυξη συνεργασιών με άλλα εκπαιδευτικά ιδρύματα ή Ευρωπαϊκούς οργανισμούς καθώς και την ανταλλαγή καλών πρακτικών και εμπειριών, την ανάπτυξη της διεθνούς παρουσίας του Τμήματος.</w:t>
      </w:r>
    </w:p>
    <w:p w:rsidR="007A1DA4" w:rsidRDefault="007A1DA4" w:rsidP="00943C8F">
      <w:pPr>
        <w:tabs>
          <w:tab w:val="left" w:pos="1233"/>
        </w:tabs>
        <w:spacing w:before="120"/>
        <w:ind w:right="133"/>
        <w:jc w:val="both"/>
      </w:pPr>
    </w:p>
    <w:p w:rsidR="007A1DA4" w:rsidRDefault="007A1DA4" w:rsidP="00943C8F">
      <w:pPr>
        <w:tabs>
          <w:tab w:val="left" w:pos="1233"/>
        </w:tabs>
        <w:spacing w:before="120"/>
        <w:ind w:right="133"/>
        <w:jc w:val="both"/>
      </w:pPr>
      <w:r w:rsidRPr="007A1DA4">
        <w:rPr>
          <w:b/>
        </w:rPr>
        <w:t>Άρθρο 3. Στόχοι της πολιτικής</w:t>
      </w:r>
      <w:r>
        <w:t xml:space="preserve"> </w:t>
      </w:r>
    </w:p>
    <w:p w:rsidR="00A01552" w:rsidRDefault="007A1DA4" w:rsidP="00943C8F">
      <w:pPr>
        <w:tabs>
          <w:tab w:val="left" w:pos="1233"/>
        </w:tabs>
        <w:spacing w:before="120"/>
        <w:ind w:right="133"/>
        <w:jc w:val="both"/>
      </w:pPr>
      <w:r>
        <w:t>Το Τμήμα έχει ως στόχο τη διαρκή βελτίωση όλων των εκπαιδευτικών προγραμμάτων του, ώστε να παρέχει στους φοιτητές/</w:t>
      </w:r>
      <w:proofErr w:type="spellStart"/>
      <w:r>
        <w:t>τριες</w:t>
      </w:r>
      <w:proofErr w:type="spellEnd"/>
      <w:r>
        <w:t xml:space="preserve"> άριστη εκπαίδευση που τους προετοιμάζει για επιτυχημένη ακαδημαϊκή ή επαγγελματική σταδιοδρομία. Για την επίτευξη του στόχου, το Τμήμα υλοποιεί τη συνεχή αξιολόγηση του ΠΠΣ. Επανεξετάζει σε τακτά χρονικά διαστήματα το πρόγραμμα σπουδών, τις μεθόδους διδασκαλίας και, στο μέτρο του δυνατού, τις εγκαταστάσεις και υποδομές του για να διασφαλίσει την κάλυψη αναγκών των φοιτητών. Επιδιώκει την ανατροφοδότηση από φοιτητές και διδάσκοντες για να εντοπίσει τομείς για βελτίωση. Η επιτυχής εφαρμογή και διαχείριση της πολιτικής ποιότητας του </w:t>
      </w:r>
      <w:r w:rsidR="00A01552">
        <w:t>ΤΙΑΔΠΑ</w:t>
      </w:r>
      <w:r>
        <w:t xml:space="preserve"> εκτιμάται ότι θα συνεισφέρει στην επίτευξη των παρακάτω στόχων: </w:t>
      </w:r>
    </w:p>
    <w:p w:rsidR="00A01552" w:rsidRDefault="007A1DA4" w:rsidP="00943C8F">
      <w:pPr>
        <w:tabs>
          <w:tab w:val="left" w:pos="1233"/>
        </w:tabs>
        <w:spacing w:before="120"/>
        <w:ind w:right="133"/>
        <w:jc w:val="both"/>
      </w:pPr>
      <w:r>
        <w:t xml:space="preserve">α) Ενίσχυση του κύρους και της διεθνούς </w:t>
      </w:r>
      <w:proofErr w:type="spellStart"/>
      <w:r>
        <w:t>αναγνωρισιμότητας</w:t>
      </w:r>
      <w:proofErr w:type="spellEnd"/>
      <w:r>
        <w:t xml:space="preserve"> όλων των Προγραμμάτων Σπουδών του Τμήματος (Προπτυχιακό, Μεταπτυχιακά, Διδακτορικό, Μεταδιδακτορικό). </w:t>
      </w:r>
    </w:p>
    <w:p w:rsidR="00A01552" w:rsidRDefault="007A1DA4" w:rsidP="00943C8F">
      <w:pPr>
        <w:tabs>
          <w:tab w:val="left" w:pos="1233"/>
        </w:tabs>
        <w:spacing w:before="120"/>
        <w:ind w:right="133"/>
        <w:jc w:val="both"/>
      </w:pPr>
      <w:r>
        <w:t xml:space="preserve">β) Ενίσχυση της ποιότητας των ακαδημαϊκών δραστηριοτήτων (υψηλού επιπέδου επιστημονική κατάρτιση, παιδεία και ακαδημαϊκό και επαγγελματικό ήθος) με στόχο τη βελτίωση της επίδοσης των φοιτητών </w:t>
      </w:r>
    </w:p>
    <w:p w:rsidR="00A01552" w:rsidRDefault="007A1DA4" w:rsidP="00943C8F">
      <w:pPr>
        <w:tabs>
          <w:tab w:val="left" w:pos="1233"/>
        </w:tabs>
        <w:spacing w:before="120"/>
        <w:ind w:right="133"/>
        <w:jc w:val="both"/>
      </w:pPr>
      <w:r>
        <w:t xml:space="preserve">γ) Αύξηση της ικανοποίησης και της εμπιστοσύνης των φορέων της εργασίας και της κοινωνίας προς τις γνώσεις, τις ικανότητες και τις δεξιότητες των αποφοίτων του Τμήματος </w:t>
      </w:r>
    </w:p>
    <w:p w:rsidR="00A01552" w:rsidRDefault="007A1DA4" w:rsidP="00943C8F">
      <w:pPr>
        <w:tabs>
          <w:tab w:val="left" w:pos="1233"/>
        </w:tabs>
        <w:spacing w:before="120"/>
        <w:ind w:right="133"/>
        <w:jc w:val="both"/>
      </w:pPr>
      <w:r>
        <w:t xml:space="preserve">δ) Βελτίωση της ανταγωνιστικής θέσης του Τμήματος, σε σχέση με άλλα ομοταγή Τμήματα εσωτερικού και εξωτερικού </w:t>
      </w:r>
    </w:p>
    <w:p w:rsidR="00A01552" w:rsidRDefault="007A1DA4" w:rsidP="00943C8F">
      <w:pPr>
        <w:tabs>
          <w:tab w:val="left" w:pos="1233"/>
        </w:tabs>
        <w:spacing w:before="120"/>
        <w:ind w:right="133"/>
        <w:jc w:val="both"/>
      </w:pPr>
      <w:r>
        <w:t xml:space="preserve">ε) Αύξηση του ανθρώπινου δυναμικού (μέλη ΔΕΠ, διοικητικό προσωπικό) και διαρκής εξέλιξη των προσόντων του </w:t>
      </w:r>
    </w:p>
    <w:p w:rsidR="00A01552" w:rsidRDefault="007A1DA4" w:rsidP="00943C8F">
      <w:pPr>
        <w:tabs>
          <w:tab w:val="left" w:pos="1233"/>
        </w:tabs>
        <w:spacing w:before="120"/>
        <w:ind w:right="133"/>
        <w:jc w:val="both"/>
      </w:pPr>
      <w:r>
        <w:t xml:space="preserve">στ) Ενίσχυση της ποιότητας και της ποσότητας των ερευνητικών δράσεων του Τμήματος </w:t>
      </w:r>
    </w:p>
    <w:p w:rsidR="00A01552" w:rsidRDefault="007A1DA4" w:rsidP="00943C8F">
      <w:pPr>
        <w:tabs>
          <w:tab w:val="left" w:pos="1233"/>
        </w:tabs>
        <w:spacing w:before="120"/>
        <w:ind w:right="133"/>
        <w:jc w:val="both"/>
      </w:pPr>
      <w:r>
        <w:t xml:space="preserve">ζ) Βελτίωση της διασύνδεσης με την αγορά εργασίας και τους αποφοίτους του η) Ενίσχυση της εξωστρέφειας </w:t>
      </w:r>
    </w:p>
    <w:p w:rsidR="00A01552" w:rsidRDefault="007A1DA4" w:rsidP="00943C8F">
      <w:pPr>
        <w:tabs>
          <w:tab w:val="left" w:pos="1233"/>
        </w:tabs>
        <w:spacing w:before="120"/>
        <w:ind w:right="133"/>
        <w:jc w:val="both"/>
      </w:pPr>
      <w:r>
        <w:t xml:space="preserve">θ) Ενίσχυση της κουλτούρας ποιότητας μέσα στο Τμήμα </w:t>
      </w:r>
    </w:p>
    <w:p w:rsidR="00A01552" w:rsidRDefault="007A1DA4" w:rsidP="00943C8F">
      <w:pPr>
        <w:tabs>
          <w:tab w:val="left" w:pos="1233"/>
        </w:tabs>
        <w:spacing w:before="120"/>
        <w:ind w:right="133"/>
        <w:jc w:val="both"/>
      </w:pPr>
      <w:r>
        <w:t>ι) Στο μέτρο του δυνατού, βελτίωση των εγκαταστάσεων και των υποδομών για τη διασφάλιση και την κάλυψη των αναγκών των φοιτητών</w:t>
      </w:r>
      <w:r w:rsidR="00A01552">
        <w:t>/τριών</w:t>
      </w:r>
      <w:r>
        <w:t xml:space="preserve"> και των μελών ΔΕΠ/ΕΔΙΠ του Τμήματος</w:t>
      </w:r>
      <w:r w:rsidR="00A01552">
        <w:t xml:space="preserve"> και</w:t>
      </w:r>
    </w:p>
    <w:p w:rsidR="00A01552" w:rsidRDefault="00A01552" w:rsidP="00943C8F">
      <w:pPr>
        <w:tabs>
          <w:tab w:val="left" w:pos="1233"/>
        </w:tabs>
        <w:spacing w:before="120"/>
        <w:ind w:right="133"/>
        <w:jc w:val="both"/>
      </w:pPr>
      <w:r>
        <w:t>ια) Ανατροφοδότηση από φοιτητές, διδάσκοντες, κοινωνικούς και επαγγελματικούς φορείς και φορείς της αγοράς εργασίας και της βιομηχανίας του κλάδου, για τον πιθανό επαναπροσδιορισμό και τη βελτίωση των παρεχόμενων εκπαιδευτικών υπηρεσιών.</w:t>
      </w:r>
    </w:p>
    <w:sectPr w:rsidR="00A01552" w:rsidSect="0020016B">
      <w:headerReference w:type="default" r:id="rId10"/>
      <w:pgSz w:w="11920" w:h="16850"/>
      <w:pgMar w:top="1200" w:right="1275" w:bottom="280" w:left="1133" w:header="76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013" w:rsidRDefault="005B6013" w:rsidP="0020016B">
      <w:r>
        <w:separator/>
      </w:r>
    </w:p>
  </w:endnote>
  <w:endnote w:type="continuationSeparator" w:id="0">
    <w:p w:rsidR="005B6013" w:rsidRDefault="005B6013" w:rsidP="002001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013" w:rsidRDefault="005B6013" w:rsidP="0020016B">
      <w:r>
        <w:separator/>
      </w:r>
    </w:p>
  </w:footnote>
  <w:footnote w:type="continuationSeparator" w:id="0">
    <w:p w:rsidR="005B6013" w:rsidRDefault="005B6013" w:rsidP="00200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6B" w:rsidRDefault="005777C6">
    <w:pPr>
      <w:pStyle w:val="a3"/>
      <w:spacing w:line="14" w:lineRule="auto"/>
      <w:rPr>
        <w:sz w:val="20"/>
      </w:rPr>
    </w:pPr>
    <w:r>
      <w:rPr>
        <w:sz w:val="20"/>
      </w:rPr>
      <w:pict>
        <v:shapetype id="_x0000_t202" coordsize="21600,21600" o:spt="202" path="m,l,21600r21600,l21600,xe">
          <v:stroke joinstyle="miter"/>
          <v:path gradientshapeok="t" o:connecttype="rect"/>
        </v:shapetype>
        <v:shape id="docshape4" o:spid="_x0000_s2049" type="#_x0000_t202" style="position:absolute;margin-left:301.5pt;margin-top:37.05pt;width:12.6pt;height:13.05pt;z-index:-251658752;mso-position-horizontal-relative:page;mso-position-vertical-relative:page" filled="f" stroked="f">
          <v:textbox inset="0,0,0,0">
            <w:txbxContent>
              <w:p w:rsidR="0020016B" w:rsidRDefault="005777C6">
                <w:pPr>
                  <w:spacing w:line="245" w:lineRule="exact"/>
                  <w:ind w:left="60"/>
                </w:pPr>
                <w:r>
                  <w:rPr>
                    <w:spacing w:val="-10"/>
                  </w:rPr>
                  <w:fldChar w:fldCharType="begin"/>
                </w:r>
                <w:r w:rsidR="00B45635">
                  <w:rPr>
                    <w:spacing w:val="-10"/>
                  </w:rPr>
                  <w:instrText xml:space="preserve"> PAGE </w:instrText>
                </w:r>
                <w:r>
                  <w:rPr>
                    <w:spacing w:val="-10"/>
                  </w:rPr>
                  <w:fldChar w:fldCharType="separate"/>
                </w:r>
                <w:r w:rsidR="00B94A66">
                  <w:rPr>
                    <w:noProof/>
                    <w:spacing w:val="-10"/>
                  </w:rPr>
                  <w:t>1</w:t>
                </w:r>
                <w:r>
                  <w:rPr>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F0AB4"/>
    <w:multiLevelType w:val="hybridMultilevel"/>
    <w:tmpl w:val="78ACDA72"/>
    <w:lvl w:ilvl="0" w:tplc="D9B6B136">
      <w:numFmt w:val="bullet"/>
      <w:lvlText w:val=""/>
      <w:lvlJc w:val="left"/>
      <w:pPr>
        <w:ind w:left="1233" w:hanging="353"/>
      </w:pPr>
      <w:rPr>
        <w:rFonts w:ascii="Wingdings" w:eastAsia="Wingdings" w:hAnsi="Wingdings" w:cs="Wingdings" w:hint="default"/>
        <w:b w:val="0"/>
        <w:bCs w:val="0"/>
        <w:i w:val="0"/>
        <w:iCs w:val="0"/>
        <w:spacing w:val="0"/>
        <w:w w:val="100"/>
        <w:sz w:val="22"/>
        <w:szCs w:val="22"/>
        <w:lang w:val="el-GR" w:eastAsia="en-US" w:bidi="ar-SA"/>
      </w:rPr>
    </w:lvl>
    <w:lvl w:ilvl="1" w:tplc="02E0A532">
      <w:numFmt w:val="bullet"/>
      <w:lvlText w:val="•"/>
      <w:lvlJc w:val="left"/>
      <w:pPr>
        <w:ind w:left="2066" w:hanging="353"/>
      </w:pPr>
      <w:rPr>
        <w:rFonts w:hint="default"/>
        <w:lang w:val="el-GR" w:eastAsia="en-US" w:bidi="ar-SA"/>
      </w:rPr>
    </w:lvl>
    <w:lvl w:ilvl="2" w:tplc="E5AEF04E">
      <w:numFmt w:val="bullet"/>
      <w:lvlText w:val="•"/>
      <w:lvlJc w:val="left"/>
      <w:pPr>
        <w:ind w:left="2892" w:hanging="353"/>
      </w:pPr>
      <w:rPr>
        <w:rFonts w:hint="default"/>
        <w:lang w:val="el-GR" w:eastAsia="en-US" w:bidi="ar-SA"/>
      </w:rPr>
    </w:lvl>
    <w:lvl w:ilvl="3" w:tplc="A9E06CDA">
      <w:numFmt w:val="bullet"/>
      <w:lvlText w:val="•"/>
      <w:lvlJc w:val="left"/>
      <w:pPr>
        <w:ind w:left="3718" w:hanging="353"/>
      </w:pPr>
      <w:rPr>
        <w:rFonts w:hint="default"/>
        <w:lang w:val="el-GR" w:eastAsia="en-US" w:bidi="ar-SA"/>
      </w:rPr>
    </w:lvl>
    <w:lvl w:ilvl="4" w:tplc="64BE5400">
      <w:numFmt w:val="bullet"/>
      <w:lvlText w:val="•"/>
      <w:lvlJc w:val="left"/>
      <w:pPr>
        <w:ind w:left="4545" w:hanging="353"/>
      </w:pPr>
      <w:rPr>
        <w:rFonts w:hint="default"/>
        <w:lang w:val="el-GR" w:eastAsia="en-US" w:bidi="ar-SA"/>
      </w:rPr>
    </w:lvl>
    <w:lvl w:ilvl="5" w:tplc="DBF4BD22">
      <w:numFmt w:val="bullet"/>
      <w:lvlText w:val="•"/>
      <w:lvlJc w:val="left"/>
      <w:pPr>
        <w:ind w:left="5371" w:hanging="353"/>
      </w:pPr>
      <w:rPr>
        <w:rFonts w:hint="default"/>
        <w:lang w:val="el-GR" w:eastAsia="en-US" w:bidi="ar-SA"/>
      </w:rPr>
    </w:lvl>
    <w:lvl w:ilvl="6" w:tplc="518A78B6">
      <w:numFmt w:val="bullet"/>
      <w:lvlText w:val="•"/>
      <w:lvlJc w:val="left"/>
      <w:pPr>
        <w:ind w:left="6197" w:hanging="353"/>
      </w:pPr>
      <w:rPr>
        <w:rFonts w:hint="default"/>
        <w:lang w:val="el-GR" w:eastAsia="en-US" w:bidi="ar-SA"/>
      </w:rPr>
    </w:lvl>
    <w:lvl w:ilvl="7" w:tplc="3C52A2AE">
      <w:numFmt w:val="bullet"/>
      <w:lvlText w:val="•"/>
      <w:lvlJc w:val="left"/>
      <w:pPr>
        <w:ind w:left="7024" w:hanging="353"/>
      </w:pPr>
      <w:rPr>
        <w:rFonts w:hint="default"/>
        <w:lang w:val="el-GR" w:eastAsia="en-US" w:bidi="ar-SA"/>
      </w:rPr>
    </w:lvl>
    <w:lvl w:ilvl="8" w:tplc="79BA67A4">
      <w:numFmt w:val="bullet"/>
      <w:lvlText w:val="•"/>
      <w:lvlJc w:val="left"/>
      <w:pPr>
        <w:ind w:left="7850" w:hanging="353"/>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lTrailSpace/>
    <w:shapeLayoutLikeWW8/>
  </w:compat>
  <w:rsids>
    <w:rsidRoot w:val="0020016B"/>
    <w:rsid w:val="000526DD"/>
    <w:rsid w:val="0020016B"/>
    <w:rsid w:val="00257B38"/>
    <w:rsid w:val="003E436E"/>
    <w:rsid w:val="005777C6"/>
    <w:rsid w:val="005B6013"/>
    <w:rsid w:val="007A1DA4"/>
    <w:rsid w:val="00812A03"/>
    <w:rsid w:val="00943C8F"/>
    <w:rsid w:val="00A01552"/>
    <w:rsid w:val="00B45635"/>
    <w:rsid w:val="00B558E0"/>
    <w:rsid w:val="00B94A66"/>
    <w:rsid w:val="00BC5812"/>
    <w:rsid w:val="00E1487E"/>
    <w:rsid w:val="00EA3301"/>
    <w:rsid w:val="00F627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0016B"/>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016B"/>
    <w:tblPr>
      <w:tblInd w:w="0" w:type="dxa"/>
      <w:tblCellMar>
        <w:top w:w="0" w:type="dxa"/>
        <w:left w:w="0" w:type="dxa"/>
        <w:bottom w:w="0" w:type="dxa"/>
        <w:right w:w="0" w:type="dxa"/>
      </w:tblCellMar>
    </w:tblPr>
  </w:style>
  <w:style w:type="paragraph" w:styleId="a3">
    <w:name w:val="Body Text"/>
    <w:basedOn w:val="a"/>
    <w:uiPriority w:val="1"/>
    <w:qFormat/>
    <w:rsid w:val="0020016B"/>
    <w:rPr>
      <w:sz w:val="24"/>
      <w:szCs w:val="24"/>
    </w:rPr>
  </w:style>
  <w:style w:type="paragraph" w:styleId="a4">
    <w:name w:val="Title"/>
    <w:basedOn w:val="a"/>
    <w:uiPriority w:val="1"/>
    <w:qFormat/>
    <w:rsid w:val="0020016B"/>
    <w:pPr>
      <w:spacing w:before="1"/>
      <w:ind w:right="222"/>
      <w:jc w:val="center"/>
    </w:pPr>
    <w:rPr>
      <w:b/>
      <w:bCs/>
      <w:sz w:val="36"/>
      <w:szCs w:val="36"/>
    </w:rPr>
  </w:style>
  <w:style w:type="paragraph" w:styleId="a5">
    <w:name w:val="List Paragraph"/>
    <w:basedOn w:val="a"/>
    <w:uiPriority w:val="1"/>
    <w:qFormat/>
    <w:rsid w:val="0020016B"/>
    <w:pPr>
      <w:spacing w:before="117"/>
      <w:ind w:left="1233" w:hanging="360"/>
      <w:jc w:val="both"/>
    </w:pPr>
  </w:style>
  <w:style w:type="paragraph" w:customStyle="1" w:styleId="TableParagraph">
    <w:name w:val="Table Paragraph"/>
    <w:basedOn w:val="a"/>
    <w:uiPriority w:val="1"/>
    <w:qFormat/>
    <w:rsid w:val="0020016B"/>
  </w:style>
  <w:style w:type="character" w:styleId="-">
    <w:name w:val="Hyperlink"/>
    <w:basedOn w:val="a0"/>
    <w:uiPriority w:val="99"/>
    <w:unhideWhenUsed/>
    <w:rsid w:val="00943C8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odip.uop.gr/index.php/diasfalisi-poiotitas/politiki-poiotita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dip.uop.gr/qual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1878</Words>
  <Characters>10143</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2025-11-25T14:26:00Z</dcterms:created>
  <dcterms:modified xsi:type="dcterms:W3CDTF">2025-11-25T14:44:00Z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Online2PDF.com</vt:lpwstr>
  </property>
  <property fmtid="{D5CDD505-2E9C-101B-9397-08002B2CF9AE}" pid="4" name="Producer">
    <vt:lpwstr>Online2PDF.com</vt:lpwstr>
  </property>
  <property fmtid="{D5CDD505-2E9C-101B-9397-08002B2CF9AE}" pid="5" name="LastSaved">
    <vt:filetime>2024-06-27T00:00:00Z</vt:filetime>
  </property>
</Properties>
</file>